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90" w:rsidRDefault="00EF4918" w:rsidP="00571390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571390">
        <w:rPr>
          <w:b/>
          <w:sz w:val="32"/>
          <w:szCs w:val="32"/>
        </w:rPr>
        <w:t>A 2012. ÉVI KÖLTSÉGVETÉS</w:t>
      </w:r>
    </w:p>
    <w:p w:rsidR="00EF4918" w:rsidRPr="00571390" w:rsidRDefault="00EF4918" w:rsidP="00571390">
      <w:pPr>
        <w:jc w:val="center"/>
        <w:rPr>
          <w:b/>
          <w:sz w:val="32"/>
          <w:szCs w:val="32"/>
        </w:rPr>
      </w:pPr>
      <w:r w:rsidRPr="00571390">
        <w:rPr>
          <w:b/>
          <w:sz w:val="32"/>
          <w:szCs w:val="32"/>
        </w:rPr>
        <w:t xml:space="preserve">SZÁMADATAINAK SZÖVEGES </w:t>
      </w:r>
      <w:r w:rsidR="00571390">
        <w:rPr>
          <w:b/>
          <w:sz w:val="32"/>
          <w:szCs w:val="32"/>
        </w:rPr>
        <w:t>MAGYARÁZATA</w:t>
      </w:r>
    </w:p>
    <w:p w:rsidR="00EF4918" w:rsidRDefault="00EF4918" w:rsidP="001D40C8">
      <w:pPr>
        <w:jc w:val="both"/>
      </w:pPr>
    </w:p>
    <w:p w:rsidR="00EF4918" w:rsidRDefault="00EF4918" w:rsidP="001D40C8">
      <w:pPr>
        <w:jc w:val="both"/>
      </w:pPr>
      <w:r>
        <w:t>2012. sok változást hozott a GAMESZ és azon önállóan működő költségvetési szervek életében, melyeknek gazdálkodási feladatait a GAMESZ látta, látja el. 2011. december végén elfogadásra kerül az új államháztartási törvény (</w:t>
      </w:r>
      <w:r w:rsidR="00571390">
        <w:t xml:space="preserve">2011. évi CXCV tv. – </w:t>
      </w:r>
      <w:r>
        <w:t>Áht.) és annak végrehajtási rendelete (</w:t>
      </w:r>
      <w:r w:rsidR="00571390">
        <w:t xml:space="preserve">368/2011. (XII.31.) Kormányrendelet – </w:t>
      </w:r>
      <w:proofErr w:type="spellStart"/>
      <w:r>
        <w:t>Ávr</w:t>
      </w:r>
      <w:proofErr w:type="spellEnd"/>
      <w:r>
        <w:t>.)</w:t>
      </w:r>
      <w:r w:rsidR="00571390">
        <w:t xml:space="preserve">, melynek következtében az önállóan működő intézményeknek is önálló elemi költségvetéssel kell, hogy rendelkezzenek, illetve gazdasági folyamataikat elkülönített nyilvántartások, illetve könyvelés keretében kell kezelni. </w:t>
      </w:r>
      <w:proofErr w:type="gramStart"/>
      <w:r w:rsidR="00571390">
        <w:t>2012. januárjától</w:t>
      </w:r>
      <w:proofErr w:type="gramEnd"/>
      <w:r w:rsidR="00571390">
        <w:t xml:space="preserve"> ismét megváltozott a szakfeladat rend, melynek módosításait a költségvetés elkészítése során már figyelembe vettük, illetve </w:t>
      </w:r>
      <w:r w:rsidR="00322BB0">
        <w:t xml:space="preserve">a költségvetés elkészítése során a törekedtünk az eddiginél részletesebb tevékenységi struktúra kialakítására, annak érdekében, hogy költségvetési gazdálkodásunk </w:t>
      </w:r>
      <w:proofErr w:type="spellStart"/>
      <w:r w:rsidR="00322BB0">
        <w:t>transzparensebbé</w:t>
      </w:r>
      <w:proofErr w:type="spellEnd"/>
      <w:r w:rsidR="00322BB0">
        <w:t xml:space="preserve"> váljon.</w:t>
      </w:r>
    </w:p>
    <w:p w:rsidR="00322BB0" w:rsidRDefault="00322BB0" w:rsidP="001D40C8">
      <w:pPr>
        <w:jc w:val="both"/>
      </w:pPr>
    </w:p>
    <w:p w:rsidR="00322BB0" w:rsidRPr="00322BB0" w:rsidRDefault="00322BB0" w:rsidP="001D40C8">
      <w:pPr>
        <w:jc w:val="both"/>
        <w:rPr>
          <w:b/>
        </w:rPr>
      </w:pPr>
      <w:r w:rsidRPr="00322BB0">
        <w:rPr>
          <w:b/>
        </w:rPr>
        <w:t>KIADÁSOK</w:t>
      </w:r>
    </w:p>
    <w:p w:rsidR="00571390" w:rsidRDefault="00571390" w:rsidP="001D40C8">
      <w:pPr>
        <w:jc w:val="both"/>
      </w:pPr>
    </w:p>
    <w:p w:rsidR="00571390" w:rsidRPr="00322BB0" w:rsidRDefault="00322BB0" w:rsidP="005C02A5">
      <w:pPr>
        <w:ind w:left="284"/>
        <w:jc w:val="both"/>
        <w:rPr>
          <w:b/>
          <w:i/>
        </w:rPr>
      </w:pPr>
      <w:r w:rsidRPr="00322BB0">
        <w:rPr>
          <w:b/>
          <w:i/>
        </w:rPr>
        <w:t>Személyi juttatások</w:t>
      </w:r>
    </w:p>
    <w:p w:rsidR="006B7C15" w:rsidRDefault="006B7C15" w:rsidP="001D40C8">
      <w:pPr>
        <w:jc w:val="both"/>
      </w:pPr>
    </w:p>
    <w:p w:rsidR="00033D45" w:rsidRDefault="00985DEC" w:rsidP="001D40C8">
      <w:pPr>
        <w:jc w:val="both"/>
      </w:pPr>
      <w:r>
        <w:t>A személyi juttatások megtervezése során figyelembe vételre került a minimálbér bruttó 78.000,- Ft-ról 93.000,- Ft-ra, a garantált bérminimum 94.000,- Ft-ról 108.000,- Ft-ra történő emelése, a közalkalmazotti bértáblában kötelezően meghatározott soros előrelépések, illetve az esedékes jubileumi jutalmak összege is.</w:t>
      </w:r>
    </w:p>
    <w:p w:rsidR="00985DEC" w:rsidRDefault="00985DEC" w:rsidP="001D40C8">
      <w:pPr>
        <w:jc w:val="both"/>
      </w:pPr>
      <w:r>
        <w:t xml:space="preserve">A GAMESZ személyi juttatás előirányzatának keretében – az előző évhez hasonlóan – tervezésre került 22 fő, akiket a munka törvénykönyve alapján 6 hónapig foglalkoztat </w:t>
      </w:r>
      <w:r w:rsidR="003327A4">
        <w:t xml:space="preserve">a szervezet </w:t>
      </w:r>
      <w:r>
        <w:t xml:space="preserve">azok közül, akik a korábbi közcélú foglalkoztatás keretében megbízható munkaerőnek bizonyultak. </w:t>
      </w:r>
    </w:p>
    <w:p w:rsidR="00985DEC" w:rsidRDefault="003327A4" w:rsidP="001D40C8">
      <w:pPr>
        <w:jc w:val="both"/>
      </w:pPr>
      <w:r>
        <w:t xml:space="preserve">A tervezett étkezési hozzájárulás mértéke 5.000,- Ft/fő/hó Erzsébet utalvány formájában, míg a </w:t>
      </w:r>
      <w:r w:rsidR="002B467C">
        <w:t>konyhával rendelkező intézményekben 12.500,- Ft/fő/hó meleg étkezés formájában.</w:t>
      </w:r>
    </w:p>
    <w:p w:rsidR="00033D45" w:rsidRDefault="00033D45" w:rsidP="001D40C8">
      <w:pPr>
        <w:jc w:val="both"/>
      </w:pPr>
    </w:p>
    <w:p w:rsidR="006B7C15" w:rsidRDefault="006B7C15" w:rsidP="001D40C8">
      <w:pPr>
        <w:jc w:val="both"/>
      </w:pPr>
    </w:p>
    <w:p w:rsidR="00322BB0" w:rsidRPr="00322BB0" w:rsidRDefault="00322BB0" w:rsidP="005C02A5">
      <w:pPr>
        <w:ind w:left="284"/>
        <w:jc w:val="both"/>
        <w:rPr>
          <w:b/>
          <w:i/>
        </w:rPr>
      </w:pPr>
      <w:r w:rsidRPr="00322BB0">
        <w:rPr>
          <w:b/>
          <w:i/>
        </w:rPr>
        <w:t>Munkaadókat terhelő járulékok és szociális hozzájárulási adó</w:t>
      </w:r>
    </w:p>
    <w:p w:rsidR="006B7C15" w:rsidRDefault="006B7C15" w:rsidP="001D40C8">
      <w:pPr>
        <w:jc w:val="both"/>
      </w:pPr>
    </w:p>
    <w:p w:rsidR="00033D45" w:rsidRDefault="003327A4" w:rsidP="001D40C8">
      <w:pPr>
        <w:jc w:val="both"/>
      </w:pPr>
      <w:proofErr w:type="gramStart"/>
      <w:r>
        <w:t>2012. januárjától</w:t>
      </w:r>
      <w:proofErr w:type="gramEnd"/>
      <w:r>
        <w:t xml:space="preserve"> a korábbi nyugdíj- és egészségbiztosítási-, és munkaerő piaci járulékot felváltja a szociális hozzájárulási adó</w:t>
      </w:r>
      <w:r w:rsidR="002B467C">
        <w:t xml:space="preserve"> (27%)</w:t>
      </w:r>
      <w:r>
        <w:t>, bár ennek mértéke megegyezik a korábbi járulékok mértékének összegével.</w:t>
      </w:r>
      <w:r w:rsidR="002B467C">
        <w:t xml:space="preserve"> A kiadások növekedése a személyi juttatások előirányzat növekedésével van összhangban.</w:t>
      </w:r>
    </w:p>
    <w:p w:rsidR="00033D45" w:rsidRDefault="00033D45" w:rsidP="001D40C8">
      <w:pPr>
        <w:jc w:val="both"/>
      </w:pPr>
    </w:p>
    <w:p w:rsidR="006B7C15" w:rsidRDefault="006B7C15" w:rsidP="001D40C8">
      <w:pPr>
        <w:jc w:val="both"/>
      </w:pPr>
    </w:p>
    <w:p w:rsidR="00322BB0" w:rsidRPr="00322BB0" w:rsidRDefault="00322BB0" w:rsidP="005C02A5">
      <w:pPr>
        <w:ind w:left="284"/>
        <w:jc w:val="both"/>
        <w:rPr>
          <w:b/>
          <w:i/>
        </w:rPr>
      </w:pPr>
      <w:r w:rsidRPr="00322BB0">
        <w:rPr>
          <w:b/>
          <w:i/>
        </w:rPr>
        <w:t>Dologi kiadások</w:t>
      </w:r>
    </w:p>
    <w:p w:rsidR="006B7C15" w:rsidRDefault="006B7C15" w:rsidP="001D40C8">
      <w:pPr>
        <w:jc w:val="both"/>
      </w:pPr>
    </w:p>
    <w:p w:rsidR="00033D45" w:rsidRDefault="003327A4" w:rsidP="001D40C8">
      <w:pPr>
        <w:jc w:val="both"/>
      </w:pPr>
      <w:r>
        <w:t>A dologi kiadások tervezése során figyelembe vételre került a 2011. évi kifizetetlen szállítóállomány, az infláció arányában várható áremelések és az ÁFA változás (25%-ról 27%-ra) hatása is.</w:t>
      </w:r>
    </w:p>
    <w:p w:rsidR="00074E1A" w:rsidRDefault="00074E1A" w:rsidP="00074E1A">
      <w:pPr>
        <w:jc w:val="both"/>
      </w:pPr>
      <w:r>
        <w:t>A tervezett dologi kiadások közül kiemelendő:</w:t>
      </w:r>
    </w:p>
    <w:tbl>
      <w:tblPr>
        <w:tblStyle w:val="Rcsostblzat"/>
        <w:tblW w:w="0" w:type="auto"/>
        <w:tblLook w:val="04A0"/>
      </w:tblPr>
      <w:tblGrid>
        <w:gridCol w:w="6629"/>
        <w:gridCol w:w="2583"/>
      </w:tblGrid>
      <w:tr w:rsidR="00074E1A" w:rsidTr="00074E1A">
        <w:tc>
          <w:tcPr>
            <w:tcW w:w="6629" w:type="dxa"/>
          </w:tcPr>
          <w:p w:rsidR="00074E1A" w:rsidRDefault="00074E1A" w:rsidP="00074E1A">
            <w:pPr>
              <w:jc w:val="both"/>
            </w:pPr>
            <w:r>
              <w:t>Hidegaszfalt beszerzése kátyúzáshoz</w:t>
            </w:r>
          </w:p>
        </w:tc>
        <w:tc>
          <w:tcPr>
            <w:tcW w:w="2583" w:type="dxa"/>
            <w:vAlign w:val="center"/>
          </w:tcPr>
          <w:p w:rsidR="00074E1A" w:rsidRDefault="000B51DE" w:rsidP="000B51DE">
            <w:pPr>
              <w:jc w:val="right"/>
            </w:pPr>
            <w:r>
              <w:t xml:space="preserve">7.500,- </w:t>
            </w:r>
            <w:proofErr w:type="spellStart"/>
            <w:r>
              <w:t>eFt</w:t>
            </w:r>
            <w:proofErr w:type="spellEnd"/>
            <w:r>
              <w:t xml:space="preserve"> + ÁFA</w:t>
            </w:r>
          </w:p>
        </w:tc>
      </w:tr>
      <w:tr w:rsidR="00074E1A" w:rsidTr="00074E1A">
        <w:tc>
          <w:tcPr>
            <w:tcW w:w="6629" w:type="dxa"/>
          </w:tcPr>
          <w:p w:rsidR="00074E1A" w:rsidRDefault="00074E1A" w:rsidP="00074E1A">
            <w:pPr>
              <w:jc w:val="both"/>
            </w:pPr>
            <w:r>
              <w:lastRenderedPageBreak/>
              <w:t>Hulladéklerakási díjak</w:t>
            </w:r>
          </w:p>
        </w:tc>
        <w:tc>
          <w:tcPr>
            <w:tcW w:w="2583" w:type="dxa"/>
            <w:vAlign w:val="center"/>
          </w:tcPr>
          <w:p w:rsidR="00074E1A" w:rsidRDefault="006B7C15" w:rsidP="00074E1A">
            <w:pPr>
              <w:jc w:val="right"/>
            </w:pPr>
            <w:r>
              <w:t xml:space="preserve">98.000,- </w:t>
            </w:r>
            <w:proofErr w:type="spellStart"/>
            <w:r>
              <w:t>eFt</w:t>
            </w:r>
            <w:proofErr w:type="spellEnd"/>
            <w:r>
              <w:t xml:space="preserve"> +ÁFA</w:t>
            </w:r>
          </w:p>
        </w:tc>
      </w:tr>
      <w:tr w:rsidR="00074E1A" w:rsidTr="00074E1A">
        <w:tc>
          <w:tcPr>
            <w:tcW w:w="6629" w:type="dxa"/>
          </w:tcPr>
          <w:p w:rsidR="00074E1A" w:rsidRDefault="00BB3226" w:rsidP="00074E1A">
            <w:pPr>
              <w:jc w:val="both"/>
            </w:pPr>
            <w:r>
              <w:t xml:space="preserve">Kaszálás, parlagfű </w:t>
            </w:r>
            <w:proofErr w:type="gramStart"/>
            <w:r w:rsidR="000B51DE">
              <w:t>mentesítés</w:t>
            </w:r>
            <w:proofErr w:type="gramEnd"/>
          </w:p>
        </w:tc>
        <w:tc>
          <w:tcPr>
            <w:tcW w:w="2583" w:type="dxa"/>
            <w:vAlign w:val="center"/>
          </w:tcPr>
          <w:p w:rsidR="00074E1A" w:rsidRDefault="000B51DE" w:rsidP="00074E1A">
            <w:pPr>
              <w:jc w:val="right"/>
            </w:pPr>
            <w:r>
              <w:t xml:space="preserve">7.500,- </w:t>
            </w:r>
            <w:proofErr w:type="spellStart"/>
            <w:r>
              <w:t>eFt</w:t>
            </w:r>
            <w:proofErr w:type="spellEnd"/>
            <w:r>
              <w:t xml:space="preserve"> +ÁFA</w:t>
            </w:r>
          </w:p>
        </w:tc>
      </w:tr>
      <w:tr w:rsidR="000B51DE" w:rsidTr="00074E1A">
        <w:tc>
          <w:tcPr>
            <w:tcW w:w="6629" w:type="dxa"/>
          </w:tcPr>
          <w:p w:rsidR="000B51DE" w:rsidRDefault="000B51DE" w:rsidP="00074E1A">
            <w:pPr>
              <w:jc w:val="both"/>
            </w:pPr>
            <w:r>
              <w:t>Útszóró só</w:t>
            </w:r>
          </w:p>
        </w:tc>
        <w:tc>
          <w:tcPr>
            <w:tcW w:w="2583" w:type="dxa"/>
            <w:vAlign w:val="center"/>
          </w:tcPr>
          <w:p w:rsidR="000B51DE" w:rsidRDefault="000B51DE" w:rsidP="00074E1A">
            <w:pPr>
              <w:jc w:val="right"/>
            </w:pPr>
            <w:r>
              <w:t xml:space="preserve">4.500,- </w:t>
            </w:r>
            <w:proofErr w:type="spellStart"/>
            <w:r>
              <w:t>eFt</w:t>
            </w:r>
            <w:proofErr w:type="spellEnd"/>
            <w:r>
              <w:t xml:space="preserve"> + ÁFA</w:t>
            </w:r>
          </w:p>
        </w:tc>
      </w:tr>
      <w:tr w:rsidR="00074E1A" w:rsidTr="00074E1A">
        <w:tc>
          <w:tcPr>
            <w:tcW w:w="6629" w:type="dxa"/>
          </w:tcPr>
          <w:p w:rsidR="00074E1A" w:rsidRDefault="000B51DE" w:rsidP="00074E1A">
            <w:pPr>
              <w:jc w:val="both"/>
            </w:pPr>
            <w:r>
              <w:t>Hó eltakarítás, sózás szolgáltatási díjai</w:t>
            </w:r>
          </w:p>
        </w:tc>
        <w:tc>
          <w:tcPr>
            <w:tcW w:w="2583" w:type="dxa"/>
            <w:vAlign w:val="center"/>
          </w:tcPr>
          <w:p w:rsidR="00074E1A" w:rsidRDefault="000B51DE" w:rsidP="00074E1A">
            <w:pPr>
              <w:jc w:val="right"/>
            </w:pPr>
            <w:r>
              <w:t xml:space="preserve">13.000,- </w:t>
            </w:r>
            <w:proofErr w:type="spellStart"/>
            <w:r>
              <w:t>eFt</w:t>
            </w:r>
            <w:proofErr w:type="spellEnd"/>
            <w:r>
              <w:t xml:space="preserve"> + ÁFA</w:t>
            </w:r>
          </w:p>
        </w:tc>
      </w:tr>
      <w:tr w:rsidR="00074E1A" w:rsidTr="00074E1A">
        <w:tc>
          <w:tcPr>
            <w:tcW w:w="6629" w:type="dxa"/>
          </w:tcPr>
          <w:p w:rsidR="00074E1A" w:rsidRDefault="000B51DE" w:rsidP="00074E1A">
            <w:pPr>
              <w:jc w:val="both"/>
            </w:pPr>
            <w:r>
              <w:t>Medveotthon üzemeltetése</w:t>
            </w:r>
          </w:p>
        </w:tc>
        <w:tc>
          <w:tcPr>
            <w:tcW w:w="2583" w:type="dxa"/>
            <w:vAlign w:val="center"/>
          </w:tcPr>
          <w:p w:rsidR="00074E1A" w:rsidRDefault="000B51DE" w:rsidP="00074E1A">
            <w:pPr>
              <w:jc w:val="right"/>
            </w:pPr>
            <w:r>
              <w:t xml:space="preserve">27.456,- </w:t>
            </w:r>
            <w:proofErr w:type="spellStart"/>
            <w:r>
              <w:t>eFt</w:t>
            </w:r>
            <w:proofErr w:type="spellEnd"/>
            <w:r>
              <w:t xml:space="preserve"> + ÁFA</w:t>
            </w:r>
          </w:p>
        </w:tc>
      </w:tr>
    </w:tbl>
    <w:p w:rsidR="00E8691B" w:rsidRDefault="00E8691B" w:rsidP="001D40C8">
      <w:pPr>
        <w:jc w:val="both"/>
      </w:pPr>
    </w:p>
    <w:p w:rsidR="00322BB0" w:rsidRPr="00322BB0" w:rsidRDefault="00322BB0" w:rsidP="001D40C8">
      <w:pPr>
        <w:jc w:val="both"/>
        <w:rPr>
          <w:b/>
        </w:rPr>
      </w:pPr>
      <w:r w:rsidRPr="00322BB0">
        <w:rPr>
          <w:b/>
        </w:rPr>
        <w:t>BEVÉTELEK</w:t>
      </w:r>
    </w:p>
    <w:p w:rsidR="00322BB0" w:rsidRDefault="00322BB0" w:rsidP="001D40C8">
      <w:pPr>
        <w:jc w:val="both"/>
      </w:pPr>
    </w:p>
    <w:p w:rsidR="00322BB0" w:rsidRPr="00322BB0" w:rsidRDefault="00322BB0" w:rsidP="005C02A5">
      <w:pPr>
        <w:ind w:left="284"/>
        <w:jc w:val="both"/>
        <w:rPr>
          <w:b/>
          <w:i/>
        </w:rPr>
      </w:pPr>
      <w:r w:rsidRPr="00322BB0">
        <w:rPr>
          <w:b/>
          <w:i/>
        </w:rPr>
        <w:t>Intézményi működési bevételek</w:t>
      </w:r>
    </w:p>
    <w:p w:rsidR="006B7C15" w:rsidRDefault="006B7C15" w:rsidP="001D40C8">
      <w:pPr>
        <w:jc w:val="both"/>
      </w:pPr>
    </w:p>
    <w:p w:rsidR="005C02A5" w:rsidRDefault="00033D45" w:rsidP="001D40C8">
      <w:pPr>
        <w:jc w:val="both"/>
      </w:pPr>
      <w:r>
        <w:t xml:space="preserve">A működési bevételek között tervezte meg valamennyi intézmény a működéséhez kapcsolódó bevételeit, melyek közül a teljesség igénye nélkül kiemelhetőek a különböző térítési (pl. étkezési), </w:t>
      </w:r>
      <w:r w:rsidR="00887412">
        <w:t xml:space="preserve">bérleti díjak (pl. terem, eszköz, stb.) </w:t>
      </w:r>
      <w:r>
        <w:t>illetve belépő díjak (medveotthon, fürdő, strand, uszoda, kulturális rendezvények</w:t>
      </w:r>
      <w:r w:rsidR="00887412">
        <w:t>, stb.)</w:t>
      </w:r>
      <w:r>
        <w:t xml:space="preserve">, </w:t>
      </w:r>
      <w:r w:rsidR="00887412">
        <w:t>a nyújtott szolgáltatások ellenértékének bevételei (pl. termálfűtés, szemétszállítás). A bevételek tervezése során figyelembe vételre került a kapacitásváltozásokhoz igazított várható teljesítés és a hátralékok beszedéséből származó bevételrész is.</w:t>
      </w:r>
    </w:p>
    <w:p w:rsidR="005C02A5" w:rsidRDefault="00E8691B" w:rsidP="001D40C8">
      <w:pPr>
        <w:jc w:val="both"/>
      </w:pPr>
      <w:r>
        <w:t>A tervezett bevételek közül a jelentősebbek a következők:</w:t>
      </w:r>
    </w:p>
    <w:tbl>
      <w:tblPr>
        <w:tblStyle w:val="Rcsostblzat"/>
        <w:tblW w:w="0" w:type="auto"/>
        <w:tblLook w:val="04A0"/>
      </w:tblPr>
      <w:tblGrid>
        <w:gridCol w:w="7479"/>
        <w:gridCol w:w="1733"/>
      </w:tblGrid>
      <w:tr w:rsidR="00E22632" w:rsidTr="00E22632">
        <w:tc>
          <w:tcPr>
            <w:tcW w:w="7479" w:type="dxa"/>
          </w:tcPr>
          <w:p w:rsidR="00E22632" w:rsidRDefault="00E22632" w:rsidP="001D40C8">
            <w:pPr>
              <w:jc w:val="both"/>
            </w:pPr>
            <w:r w:rsidRPr="00E22632">
              <w:rPr>
                <w:i/>
              </w:rPr>
              <w:t xml:space="preserve">Termálfűtés </w:t>
            </w:r>
            <w:r>
              <w:t>– az új kút beüzemelését követően a várható bevétel</w:t>
            </w:r>
          </w:p>
        </w:tc>
        <w:tc>
          <w:tcPr>
            <w:tcW w:w="1733" w:type="dxa"/>
            <w:vAlign w:val="center"/>
          </w:tcPr>
          <w:p w:rsidR="00E22632" w:rsidRDefault="00E22632" w:rsidP="00E22632">
            <w:pPr>
              <w:jc w:val="right"/>
            </w:pPr>
            <w:r>
              <w:t xml:space="preserve">126.000,- </w:t>
            </w:r>
            <w:proofErr w:type="spellStart"/>
            <w:r>
              <w:t>eFt</w:t>
            </w:r>
            <w:proofErr w:type="spellEnd"/>
          </w:p>
        </w:tc>
      </w:tr>
      <w:tr w:rsidR="00E22632" w:rsidTr="00E22632">
        <w:tc>
          <w:tcPr>
            <w:tcW w:w="7479" w:type="dxa"/>
          </w:tcPr>
          <w:p w:rsidR="00E22632" w:rsidRDefault="00E22632" w:rsidP="001D40C8">
            <w:pPr>
              <w:jc w:val="both"/>
            </w:pPr>
            <w:r w:rsidRPr="00E22632">
              <w:rPr>
                <w:i/>
              </w:rPr>
              <w:t>Szemétszállítás</w:t>
            </w:r>
            <w:r>
              <w:t xml:space="preserve"> – a behajtási folyamat eredményességének javulása és a fizetési hajlandóság növekedésének növekedése alapján várható bevétel</w:t>
            </w:r>
          </w:p>
        </w:tc>
        <w:tc>
          <w:tcPr>
            <w:tcW w:w="1733" w:type="dxa"/>
            <w:vAlign w:val="center"/>
          </w:tcPr>
          <w:p w:rsidR="00E22632" w:rsidRDefault="00E22632" w:rsidP="00E22632">
            <w:pPr>
              <w:jc w:val="right"/>
            </w:pPr>
            <w:r>
              <w:t xml:space="preserve">245.458,- </w:t>
            </w:r>
            <w:proofErr w:type="spellStart"/>
            <w:r>
              <w:t>eFt</w:t>
            </w:r>
            <w:proofErr w:type="spellEnd"/>
          </w:p>
        </w:tc>
      </w:tr>
      <w:tr w:rsidR="00E22632" w:rsidTr="00E22632">
        <w:tc>
          <w:tcPr>
            <w:tcW w:w="7479" w:type="dxa"/>
          </w:tcPr>
          <w:p w:rsidR="00E22632" w:rsidRDefault="00E22632" w:rsidP="00E22632">
            <w:pPr>
              <w:jc w:val="both"/>
            </w:pPr>
            <w:r w:rsidRPr="00E22632">
              <w:rPr>
                <w:i/>
              </w:rPr>
              <w:t>Piac</w:t>
            </w:r>
            <w:r>
              <w:t xml:space="preserve"> és egyéb közterület foglalási díjak</w:t>
            </w:r>
          </w:p>
        </w:tc>
        <w:tc>
          <w:tcPr>
            <w:tcW w:w="1733" w:type="dxa"/>
            <w:vAlign w:val="center"/>
          </w:tcPr>
          <w:p w:rsidR="00E22632" w:rsidRDefault="00E22632" w:rsidP="00E22632">
            <w:pPr>
              <w:jc w:val="right"/>
            </w:pPr>
            <w:r>
              <w:t xml:space="preserve">50.500,- </w:t>
            </w:r>
            <w:proofErr w:type="spellStart"/>
            <w:r>
              <w:t>eFt</w:t>
            </w:r>
            <w:proofErr w:type="spellEnd"/>
          </w:p>
        </w:tc>
      </w:tr>
      <w:tr w:rsidR="00E22632" w:rsidTr="00E22632">
        <w:tc>
          <w:tcPr>
            <w:tcW w:w="7479" w:type="dxa"/>
          </w:tcPr>
          <w:p w:rsidR="00E22632" w:rsidRDefault="00AA6F83" w:rsidP="001D40C8">
            <w:pPr>
              <w:jc w:val="both"/>
            </w:pPr>
            <w:r w:rsidRPr="00074E1A">
              <w:rPr>
                <w:i/>
              </w:rPr>
              <w:t>Medveotthon</w:t>
            </w:r>
            <w:r>
              <w:t xml:space="preserve"> bevételei (belépők, parkolás, képeslap, stb.)</w:t>
            </w:r>
          </w:p>
        </w:tc>
        <w:tc>
          <w:tcPr>
            <w:tcW w:w="1733" w:type="dxa"/>
            <w:vAlign w:val="center"/>
          </w:tcPr>
          <w:p w:rsidR="00E22632" w:rsidRDefault="00AA6F83" w:rsidP="00E22632">
            <w:pPr>
              <w:jc w:val="right"/>
            </w:pPr>
            <w:r>
              <w:t xml:space="preserve">89.530,- </w:t>
            </w:r>
            <w:proofErr w:type="spellStart"/>
            <w:r>
              <w:t>eFt</w:t>
            </w:r>
            <w:proofErr w:type="spellEnd"/>
          </w:p>
        </w:tc>
      </w:tr>
      <w:tr w:rsidR="00AA6F83" w:rsidTr="00E22632">
        <w:tc>
          <w:tcPr>
            <w:tcW w:w="7479" w:type="dxa"/>
          </w:tcPr>
          <w:p w:rsidR="00AA6F83" w:rsidRDefault="00074E1A" w:rsidP="001D40C8">
            <w:pPr>
              <w:jc w:val="both"/>
            </w:pPr>
            <w:r w:rsidRPr="00074E1A">
              <w:rPr>
                <w:i/>
              </w:rPr>
              <w:t>Termálfürdő, strand</w:t>
            </w:r>
            <w:r>
              <w:t xml:space="preserve"> bevételei</w:t>
            </w:r>
          </w:p>
        </w:tc>
        <w:tc>
          <w:tcPr>
            <w:tcW w:w="1733" w:type="dxa"/>
            <w:vAlign w:val="center"/>
          </w:tcPr>
          <w:p w:rsidR="00AA6F83" w:rsidRDefault="00074E1A" w:rsidP="00E22632">
            <w:pPr>
              <w:jc w:val="right"/>
            </w:pPr>
            <w:r>
              <w:t xml:space="preserve">52.266,- </w:t>
            </w:r>
            <w:proofErr w:type="spellStart"/>
            <w:r>
              <w:t>eFt</w:t>
            </w:r>
            <w:proofErr w:type="spellEnd"/>
          </w:p>
        </w:tc>
      </w:tr>
      <w:tr w:rsidR="00E22632" w:rsidTr="00E22632">
        <w:tc>
          <w:tcPr>
            <w:tcW w:w="7479" w:type="dxa"/>
          </w:tcPr>
          <w:p w:rsidR="00E22632" w:rsidRDefault="00074E1A" w:rsidP="001D40C8">
            <w:pPr>
              <w:jc w:val="both"/>
            </w:pPr>
            <w:r w:rsidRPr="00074E1A">
              <w:rPr>
                <w:i/>
              </w:rPr>
              <w:t>Óvodai étkeztetés</w:t>
            </w:r>
            <w:r>
              <w:t xml:space="preserve"> bevételei</w:t>
            </w:r>
          </w:p>
        </w:tc>
        <w:tc>
          <w:tcPr>
            <w:tcW w:w="1733" w:type="dxa"/>
            <w:vAlign w:val="center"/>
          </w:tcPr>
          <w:p w:rsidR="00E22632" w:rsidRDefault="00074E1A" w:rsidP="00E22632">
            <w:pPr>
              <w:jc w:val="right"/>
            </w:pPr>
            <w:r>
              <w:t xml:space="preserve">81.321,- </w:t>
            </w:r>
            <w:proofErr w:type="spellStart"/>
            <w:r>
              <w:t>eFt</w:t>
            </w:r>
            <w:proofErr w:type="spellEnd"/>
          </w:p>
        </w:tc>
      </w:tr>
      <w:tr w:rsidR="00074E1A" w:rsidTr="00E22632">
        <w:tc>
          <w:tcPr>
            <w:tcW w:w="7479" w:type="dxa"/>
          </w:tcPr>
          <w:p w:rsidR="00074E1A" w:rsidRDefault="00074E1A" w:rsidP="001D40C8">
            <w:pPr>
              <w:jc w:val="both"/>
            </w:pPr>
            <w:r w:rsidRPr="00074E1A">
              <w:rPr>
                <w:i/>
              </w:rPr>
              <w:t>Iskolai étkeztetés</w:t>
            </w:r>
            <w:r>
              <w:t xml:space="preserve"> bevételei</w:t>
            </w:r>
          </w:p>
        </w:tc>
        <w:tc>
          <w:tcPr>
            <w:tcW w:w="1733" w:type="dxa"/>
            <w:vAlign w:val="center"/>
          </w:tcPr>
          <w:p w:rsidR="00074E1A" w:rsidRDefault="00074E1A" w:rsidP="00E22632">
            <w:pPr>
              <w:jc w:val="right"/>
            </w:pPr>
            <w:r>
              <w:t xml:space="preserve">65.269,- </w:t>
            </w:r>
            <w:proofErr w:type="spellStart"/>
            <w:r>
              <w:t>eFt</w:t>
            </w:r>
            <w:proofErr w:type="spellEnd"/>
          </w:p>
        </w:tc>
      </w:tr>
      <w:tr w:rsidR="00074E1A" w:rsidTr="00E22632">
        <w:tc>
          <w:tcPr>
            <w:tcW w:w="7479" w:type="dxa"/>
          </w:tcPr>
          <w:p w:rsidR="00074E1A" w:rsidRDefault="00074E1A" w:rsidP="001D40C8">
            <w:pPr>
              <w:jc w:val="both"/>
            </w:pPr>
            <w:r w:rsidRPr="00074E1A">
              <w:rPr>
                <w:i/>
              </w:rPr>
              <w:t xml:space="preserve">Sportlétesítmények </w:t>
            </w:r>
            <w:r>
              <w:t>bevételei (iskolai uszoda, tornaterem)</w:t>
            </w:r>
          </w:p>
        </w:tc>
        <w:tc>
          <w:tcPr>
            <w:tcW w:w="1733" w:type="dxa"/>
            <w:vAlign w:val="center"/>
          </w:tcPr>
          <w:p w:rsidR="00074E1A" w:rsidRDefault="00074E1A" w:rsidP="00E22632">
            <w:pPr>
              <w:jc w:val="right"/>
            </w:pPr>
            <w:r>
              <w:t xml:space="preserve">67.375,- </w:t>
            </w:r>
            <w:proofErr w:type="spellStart"/>
            <w:r>
              <w:t>eFt</w:t>
            </w:r>
            <w:proofErr w:type="spellEnd"/>
          </w:p>
        </w:tc>
      </w:tr>
    </w:tbl>
    <w:p w:rsidR="00E22632" w:rsidRDefault="00E22632" w:rsidP="001D40C8">
      <w:pPr>
        <w:jc w:val="both"/>
      </w:pPr>
    </w:p>
    <w:p w:rsidR="00322BB0" w:rsidRPr="00322BB0" w:rsidRDefault="00322BB0" w:rsidP="005C02A5">
      <w:pPr>
        <w:ind w:left="284"/>
        <w:jc w:val="both"/>
        <w:rPr>
          <w:b/>
          <w:i/>
        </w:rPr>
      </w:pPr>
      <w:r w:rsidRPr="00322BB0">
        <w:rPr>
          <w:b/>
          <w:i/>
        </w:rPr>
        <w:t>Támogatási értékű bevételek</w:t>
      </w:r>
    </w:p>
    <w:p w:rsidR="006B7C15" w:rsidRDefault="006B7C15" w:rsidP="001D40C8">
      <w:pPr>
        <w:jc w:val="both"/>
      </w:pPr>
    </w:p>
    <w:p w:rsidR="00322BB0" w:rsidRDefault="009B3AAF" w:rsidP="001D40C8">
      <w:pPr>
        <w:jc w:val="both"/>
      </w:pPr>
      <w:r>
        <w:t xml:space="preserve">A GAMESZ itt tervezte meg a 2011. évben felvett közcélú foglalkoztatottak bér-, és járulék kifizetéseihez kapcsolódóan megigényelt állami támogatást 1.284,- </w:t>
      </w:r>
      <w:proofErr w:type="spellStart"/>
      <w:r>
        <w:t>eFt</w:t>
      </w:r>
      <w:proofErr w:type="spellEnd"/>
      <w:r>
        <w:t xml:space="preserve"> értékben.</w:t>
      </w:r>
      <w:r w:rsidR="00033D45">
        <w:t xml:space="preserve"> A 2012. évi közcélú foglalkoztatási programok a költségvetés tervezéséig nem indultak el, így tervezésükre sem kerülhetett sor a feltételek ismeretének hiányában.</w:t>
      </w:r>
    </w:p>
    <w:p w:rsidR="009B3AAF" w:rsidRDefault="009B3AAF" w:rsidP="001D40C8">
      <w:pPr>
        <w:jc w:val="both"/>
      </w:pPr>
      <w:r>
        <w:t xml:space="preserve">A Kölcsey Ferenc </w:t>
      </w:r>
      <w:r w:rsidR="005C02A5">
        <w:t xml:space="preserve">Városi </w:t>
      </w:r>
      <w:r>
        <w:t xml:space="preserve">Könyvtár </w:t>
      </w:r>
      <w:r w:rsidR="005C02A5">
        <w:t xml:space="preserve">az érdekeltségnövelő támogatást tervezet meg 110,- </w:t>
      </w:r>
      <w:proofErr w:type="spellStart"/>
      <w:r w:rsidR="005C02A5">
        <w:t>eFt</w:t>
      </w:r>
      <w:proofErr w:type="spellEnd"/>
      <w:r w:rsidR="005C02A5">
        <w:t xml:space="preserve"> értékben.</w:t>
      </w:r>
    </w:p>
    <w:p w:rsidR="009B3AAF" w:rsidRDefault="009B3AAF" w:rsidP="001D40C8">
      <w:pPr>
        <w:jc w:val="both"/>
      </w:pPr>
    </w:p>
    <w:p w:rsidR="00322BB0" w:rsidRPr="00322BB0" w:rsidRDefault="00322BB0" w:rsidP="005C02A5">
      <w:pPr>
        <w:ind w:left="284"/>
        <w:jc w:val="both"/>
        <w:rPr>
          <w:b/>
          <w:i/>
        </w:rPr>
      </w:pPr>
      <w:r w:rsidRPr="00322BB0">
        <w:rPr>
          <w:b/>
          <w:i/>
        </w:rPr>
        <w:t>Államháztartáson kívülről/belülről átvett pénzeszközök</w:t>
      </w:r>
    </w:p>
    <w:p w:rsidR="009B3AAF" w:rsidRDefault="009B3AAF" w:rsidP="001D40C8">
      <w:pPr>
        <w:jc w:val="both"/>
      </w:pPr>
    </w:p>
    <w:p w:rsidR="00322BB0" w:rsidRDefault="00322BB0" w:rsidP="001D40C8">
      <w:pPr>
        <w:jc w:val="both"/>
      </w:pPr>
      <w:r>
        <w:t xml:space="preserve">A Váci Mihály Művelődési Ház </w:t>
      </w:r>
      <w:r w:rsidR="009B3AAF">
        <w:t xml:space="preserve">elsősorban helyi, illetve helyi érdekeltségű vállalkozásoktól, gazdasági társaságoktól várt támogatásait tervezte itt meg éves szinten 3.000,- </w:t>
      </w:r>
      <w:proofErr w:type="spellStart"/>
      <w:r w:rsidR="009B3AAF">
        <w:t>eFt</w:t>
      </w:r>
      <w:proofErr w:type="spellEnd"/>
      <w:r w:rsidR="009B3AAF">
        <w:t xml:space="preserve"> értékben.</w:t>
      </w:r>
    </w:p>
    <w:p w:rsidR="00D367BE" w:rsidRDefault="00D367BE" w:rsidP="001D40C8">
      <w:pPr>
        <w:jc w:val="both"/>
      </w:pPr>
    </w:p>
    <w:p w:rsidR="00D367BE" w:rsidRDefault="00D367BE" w:rsidP="001D40C8">
      <w:pPr>
        <w:jc w:val="both"/>
      </w:pPr>
      <w:r>
        <w:t>Veresegyház, 2012. február. 9.</w:t>
      </w:r>
    </w:p>
    <w:p w:rsidR="00D367BE" w:rsidRDefault="00D367BE" w:rsidP="001D40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Kovács Zsuzsanna </w:t>
      </w:r>
    </w:p>
    <w:p w:rsidR="00D367BE" w:rsidRDefault="00D367BE" w:rsidP="001D40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>gazdasági</w:t>
      </w:r>
      <w:proofErr w:type="gramEnd"/>
      <w:r>
        <w:t xml:space="preserve"> vezető</w:t>
      </w:r>
    </w:p>
    <w:sectPr w:rsidR="00D367BE" w:rsidSect="00F61C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1DE" w:rsidRDefault="000B51DE">
      <w:r>
        <w:separator/>
      </w:r>
    </w:p>
  </w:endnote>
  <w:endnote w:type="continuationSeparator" w:id="1">
    <w:p w:rsidR="000B51DE" w:rsidRDefault="000B5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1DE" w:rsidRDefault="000B51DE">
      <w:r>
        <w:separator/>
      </w:r>
    </w:p>
  </w:footnote>
  <w:footnote w:type="continuationSeparator" w:id="1">
    <w:p w:rsidR="000B51DE" w:rsidRDefault="000B51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1DE" w:rsidRPr="003E1DBC" w:rsidRDefault="000B51DE" w:rsidP="00E40277">
    <w:pPr>
      <w:ind w:right="-648" w:hanging="1080"/>
      <w:jc w:val="center"/>
      <w:rPr>
        <w:b/>
        <w:bCs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4509770</wp:posOffset>
          </wp:positionH>
          <wp:positionV relativeFrom="paragraph">
            <wp:posOffset>-188595</wp:posOffset>
          </wp:positionV>
          <wp:extent cx="1583690" cy="1210945"/>
          <wp:effectExtent l="0" t="0" r="0" b="8255"/>
          <wp:wrapSquare wrapText="bothSides"/>
          <wp:docPr id="1" name="Kép 2" descr="gamesz_logo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gamesz_logo_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210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-109220</wp:posOffset>
          </wp:positionH>
          <wp:positionV relativeFrom="paragraph">
            <wp:posOffset>-117475</wp:posOffset>
          </wp:positionV>
          <wp:extent cx="833120" cy="1068705"/>
          <wp:effectExtent l="0" t="0" r="5080" b="0"/>
          <wp:wrapSquare wrapText="bothSides"/>
          <wp:docPr id="2" name="Kép 4" descr="Veresegyhaz_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Veresegyhaz_cim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120" cy="1068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1DBC">
      <w:rPr>
        <w:b/>
        <w:bCs/>
      </w:rPr>
      <w:t>VERESEGYHÁZ VÁROS ÖNKORMÁNYZAT</w:t>
    </w:r>
  </w:p>
  <w:p w:rsidR="000B51DE" w:rsidRPr="003E1DBC" w:rsidRDefault="000B51DE" w:rsidP="00E40277">
    <w:pPr>
      <w:ind w:right="-648" w:hanging="1080"/>
      <w:jc w:val="center"/>
      <w:rPr>
        <w:b/>
        <w:bCs/>
      </w:rPr>
    </w:pPr>
    <w:r w:rsidRPr="003E1DBC">
      <w:rPr>
        <w:b/>
        <w:bCs/>
      </w:rPr>
      <w:t>GAZDASÁGI MŰSZAKI ELLÁTÓ SZERVEZET</w:t>
    </w:r>
  </w:p>
  <w:p w:rsidR="000B51DE" w:rsidRPr="003E1DBC" w:rsidRDefault="000B51DE" w:rsidP="00E40277">
    <w:pPr>
      <w:ind w:right="-648" w:hanging="1080"/>
      <w:jc w:val="center"/>
    </w:pPr>
    <w:r w:rsidRPr="003E1DBC">
      <w:t>2112</w:t>
    </w:r>
    <w:r>
      <w:t>.</w:t>
    </w:r>
    <w:r w:rsidRPr="003E1DBC">
      <w:t xml:space="preserve"> Veresegyház, Sport utca 4.</w:t>
    </w:r>
  </w:p>
  <w:p w:rsidR="000B51DE" w:rsidRPr="003E1DBC" w:rsidRDefault="000B51DE" w:rsidP="00E40277">
    <w:pPr>
      <w:ind w:right="-648" w:hanging="1080"/>
      <w:jc w:val="center"/>
    </w:pPr>
    <w:r w:rsidRPr="003E1DBC">
      <w:t>Telefon: (28) 585-190; Fax: (28) 586-045</w:t>
    </w:r>
  </w:p>
  <w:p w:rsidR="000B51DE" w:rsidRPr="003E1DBC" w:rsidRDefault="000B51DE" w:rsidP="00E40277">
    <w:pPr>
      <w:ind w:right="-648" w:hanging="1080"/>
      <w:jc w:val="center"/>
    </w:pPr>
    <w:r w:rsidRPr="003E1DBC">
      <w:t xml:space="preserve">E-mail: </w:t>
    </w:r>
    <w:hyperlink r:id="rId3" w:history="1">
      <w:r w:rsidRPr="009A5B8D">
        <w:rPr>
          <w:rStyle w:val="Hiperhivatkozs"/>
        </w:rPr>
        <w:t>gamesz@veresegyhaz.hu</w:t>
      </w:r>
    </w:hyperlink>
  </w:p>
  <w:p w:rsidR="000B51DE" w:rsidRPr="003E1DBC" w:rsidRDefault="000B51DE" w:rsidP="00E40277">
    <w:pPr>
      <w:pBdr>
        <w:bottom w:val="single" w:sz="4" w:space="1" w:color="auto"/>
      </w:pBdr>
      <w:ind w:right="-648" w:hanging="720"/>
      <w:jc w:val="center"/>
    </w:pPr>
  </w:p>
  <w:p w:rsidR="000B51DE" w:rsidRDefault="000B51DE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030A"/>
    <w:multiLevelType w:val="hybridMultilevel"/>
    <w:tmpl w:val="8842C810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4DDF3348"/>
    <w:multiLevelType w:val="hybridMultilevel"/>
    <w:tmpl w:val="7C02B7FC"/>
    <w:lvl w:ilvl="0" w:tplc="040E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A7566F"/>
    <w:rsid w:val="00002854"/>
    <w:rsid w:val="000201C9"/>
    <w:rsid w:val="00023259"/>
    <w:rsid w:val="00033D45"/>
    <w:rsid w:val="00074E1A"/>
    <w:rsid w:val="000A3546"/>
    <w:rsid w:val="000B51DE"/>
    <w:rsid w:val="001C2331"/>
    <w:rsid w:val="001C75F1"/>
    <w:rsid w:val="001D40C8"/>
    <w:rsid w:val="001E2FDE"/>
    <w:rsid w:val="001E5991"/>
    <w:rsid w:val="001E757F"/>
    <w:rsid w:val="001F200E"/>
    <w:rsid w:val="00227836"/>
    <w:rsid w:val="00281A93"/>
    <w:rsid w:val="002B467C"/>
    <w:rsid w:val="003025A2"/>
    <w:rsid w:val="00321E68"/>
    <w:rsid w:val="00322BB0"/>
    <w:rsid w:val="00323817"/>
    <w:rsid w:val="003327A4"/>
    <w:rsid w:val="00347418"/>
    <w:rsid w:val="00366C58"/>
    <w:rsid w:val="00387AAC"/>
    <w:rsid w:val="003B3A93"/>
    <w:rsid w:val="003C2C65"/>
    <w:rsid w:val="003E1DBC"/>
    <w:rsid w:val="00455F47"/>
    <w:rsid w:val="00470138"/>
    <w:rsid w:val="004F5E02"/>
    <w:rsid w:val="00507CE1"/>
    <w:rsid w:val="0051119E"/>
    <w:rsid w:val="0056574F"/>
    <w:rsid w:val="00570B18"/>
    <w:rsid w:val="00571390"/>
    <w:rsid w:val="00593ECC"/>
    <w:rsid w:val="005A77E5"/>
    <w:rsid w:val="005C02A5"/>
    <w:rsid w:val="005C40D2"/>
    <w:rsid w:val="005E39C9"/>
    <w:rsid w:val="005F16DF"/>
    <w:rsid w:val="00640530"/>
    <w:rsid w:val="006609BF"/>
    <w:rsid w:val="0066653F"/>
    <w:rsid w:val="00670A12"/>
    <w:rsid w:val="006B7C15"/>
    <w:rsid w:val="006C4414"/>
    <w:rsid w:val="007220CA"/>
    <w:rsid w:val="00724117"/>
    <w:rsid w:val="0073778A"/>
    <w:rsid w:val="007813EF"/>
    <w:rsid w:val="007961D1"/>
    <w:rsid w:val="00797E39"/>
    <w:rsid w:val="007F34D6"/>
    <w:rsid w:val="00810122"/>
    <w:rsid w:val="0083025F"/>
    <w:rsid w:val="008369A0"/>
    <w:rsid w:val="0087042F"/>
    <w:rsid w:val="00887412"/>
    <w:rsid w:val="008C4CDB"/>
    <w:rsid w:val="009032C8"/>
    <w:rsid w:val="00923BFF"/>
    <w:rsid w:val="00974C08"/>
    <w:rsid w:val="00985DEC"/>
    <w:rsid w:val="00987AF2"/>
    <w:rsid w:val="009B3AAF"/>
    <w:rsid w:val="009B7142"/>
    <w:rsid w:val="009E12F9"/>
    <w:rsid w:val="009F1821"/>
    <w:rsid w:val="00A46E0B"/>
    <w:rsid w:val="00A67984"/>
    <w:rsid w:val="00A7566F"/>
    <w:rsid w:val="00A86911"/>
    <w:rsid w:val="00AA2F79"/>
    <w:rsid w:val="00AA6F83"/>
    <w:rsid w:val="00B5509B"/>
    <w:rsid w:val="00B83525"/>
    <w:rsid w:val="00BB3226"/>
    <w:rsid w:val="00C42C52"/>
    <w:rsid w:val="00C46942"/>
    <w:rsid w:val="00C81417"/>
    <w:rsid w:val="00C91A36"/>
    <w:rsid w:val="00CD3F94"/>
    <w:rsid w:val="00CE46F7"/>
    <w:rsid w:val="00D367BE"/>
    <w:rsid w:val="00D50EA6"/>
    <w:rsid w:val="00D56778"/>
    <w:rsid w:val="00D9106E"/>
    <w:rsid w:val="00E22632"/>
    <w:rsid w:val="00E3321E"/>
    <w:rsid w:val="00E40277"/>
    <w:rsid w:val="00E41F23"/>
    <w:rsid w:val="00E8691B"/>
    <w:rsid w:val="00E93153"/>
    <w:rsid w:val="00EA1937"/>
    <w:rsid w:val="00EA232B"/>
    <w:rsid w:val="00EA78F0"/>
    <w:rsid w:val="00EB5D4B"/>
    <w:rsid w:val="00EF4918"/>
    <w:rsid w:val="00F2140F"/>
    <w:rsid w:val="00F61C9B"/>
    <w:rsid w:val="00F70E47"/>
    <w:rsid w:val="00F950A0"/>
    <w:rsid w:val="00FC3313"/>
    <w:rsid w:val="00FD5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411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AA2F7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987AF2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AA2F7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987AF2"/>
    <w:rPr>
      <w:sz w:val="24"/>
      <w:szCs w:val="24"/>
    </w:rPr>
  </w:style>
  <w:style w:type="character" w:styleId="Hiperhivatkozs">
    <w:name w:val="Hyperlink"/>
    <w:basedOn w:val="Bekezdsalapbettpusa"/>
    <w:uiPriority w:val="99"/>
    <w:rsid w:val="00AA2F7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EA78F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E39C9"/>
    <w:rPr>
      <w:sz w:val="2"/>
      <w:szCs w:val="2"/>
    </w:rPr>
  </w:style>
  <w:style w:type="table" w:styleId="Rcsostblzat">
    <w:name w:val="Table Grid"/>
    <w:basedOn w:val="Normltblzat"/>
    <w:locked/>
    <w:rsid w:val="00E22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411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AA2F7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987AF2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AA2F7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987AF2"/>
    <w:rPr>
      <w:sz w:val="24"/>
      <w:szCs w:val="24"/>
    </w:rPr>
  </w:style>
  <w:style w:type="character" w:styleId="Hiperhivatkozs">
    <w:name w:val="Hyperlink"/>
    <w:basedOn w:val="Bekezdsalapbettpusa"/>
    <w:uiPriority w:val="99"/>
    <w:rsid w:val="00AA2F7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EA78F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E39C9"/>
    <w:rPr>
      <w:sz w:val="2"/>
      <w:szCs w:val="2"/>
    </w:rPr>
  </w:style>
  <w:style w:type="table" w:styleId="Rcsostblzat">
    <w:name w:val="Table Grid"/>
    <w:basedOn w:val="Normltblzat"/>
    <w:locked/>
    <w:rsid w:val="00E22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gamesz@veresegyhaz.hu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560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Tisztelt Ingatlantulajdonosok</vt:lpstr>
    </vt:vector>
  </TitlesOfParts>
  <Company>GAMESZ Veresegyház</Company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Ingatlantulajdonosok</dc:title>
  <dc:creator>NJA</dc:creator>
  <cp:lastModifiedBy>Veresegyház Polgármesteri Hivatal</cp:lastModifiedBy>
  <cp:revision>3</cp:revision>
  <cp:lastPrinted>2012-02-14T10:54:00Z</cp:lastPrinted>
  <dcterms:created xsi:type="dcterms:W3CDTF">2012-02-10T13:57:00Z</dcterms:created>
  <dcterms:modified xsi:type="dcterms:W3CDTF">2012-02-14T10:56:00Z</dcterms:modified>
</cp:coreProperties>
</file>