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390" w:rsidRDefault="00EF4918" w:rsidP="00571390">
      <w:pPr>
        <w:jc w:val="center"/>
        <w:rPr>
          <w:b/>
          <w:sz w:val="32"/>
          <w:szCs w:val="32"/>
        </w:rPr>
      </w:pPr>
      <w:r w:rsidRPr="00571390">
        <w:rPr>
          <w:b/>
          <w:sz w:val="32"/>
          <w:szCs w:val="32"/>
        </w:rPr>
        <w:t>A 201</w:t>
      </w:r>
      <w:r w:rsidR="00890D19">
        <w:rPr>
          <w:b/>
          <w:sz w:val="32"/>
          <w:szCs w:val="32"/>
        </w:rPr>
        <w:t>3</w:t>
      </w:r>
      <w:r w:rsidRPr="00571390">
        <w:rPr>
          <w:b/>
          <w:sz w:val="32"/>
          <w:szCs w:val="32"/>
        </w:rPr>
        <w:t>. ÉVI KÖLTSÉGVETÉS</w:t>
      </w:r>
    </w:p>
    <w:p w:rsidR="00EF4918" w:rsidRPr="00571390" w:rsidRDefault="00EF4918" w:rsidP="00571390">
      <w:pPr>
        <w:jc w:val="center"/>
        <w:rPr>
          <w:b/>
          <w:sz w:val="32"/>
          <w:szCs w:val="32"/>
        </w:rPr>
      </w:pPr>
      <w:r w:rsidRPr="00571390">
        <w:rPr>
          <w:b/>
          <w:sz w:val="32"/>
          <w:szCs w:val="32"/>
        </w:rPr>
        <w:t xml:space="preserve">SZÁMADATAINAK SZÖVEGES </w:t>
      </w:r>
      <w:r w:rsidR="00571390">
        <w:rPr>
          <w:b/>
          <w:sz w:val="32"/>
          <w:szCs w:val="32"/>
        </w:rPr>
        <w:t>MAGYARÁZATA</w:t>
      </w:r>
    </w:p>
    <w:p w:rsidR="00EF4918" w:rsidRDefault="00EF4918" w:rsidP="001D40C8">
      <w:pPr>
        <w:jc w:val="both"/>
      </w:pPr>
    </w:p>
    <w:p w:rsidR="00111CE7" w:rsidRDefault="008A6184" w:rsidP="001D40C8">
      <w:pPr>
        <w:jc w:val="both"/>
      </w:pPr>
      <w:r>
        <w:t xml:space="preserve">A 2013. év ismét több változást hozott a város költségvetési szerveinek életébe. 2012-ben az önállóan működő és gazdálkodó GAMESZ hét önállóan működő költségvetési szerv gazdálkodási feladatait látta el, ezen intézmények önálló költségvetés szerint saját bankszámlán keresztül használták fel bevételeiket és az Önkormányzat által nyújtott „finanszírozást”. </w:t>
      </w:r>
    </w:p>
    <w:p w:rsidR="00386D89" w:rsidRDefault="008A6184" w:rsidP="00797132">
      <w:pPr>
        <w:jc w:val="both"/>
      </w:pPr>
      <w:r>
        <w:t xml:space="preserve">2013. január 1-el </w:t>
      </w:r>
      <w:proofErr w:type="gramStart"/>
      <w:r>
        <w:t>ezen</w:t>
      </w:r>
      <w:proofErr w:type="gramEnd"/>
      <w:r>
        <w:t xml:space="preserve"> hét intézményből háromnak – az</w:t>
      </w:r>
      <w:r w:rsidR="00111CE7">
        <w:t>az az</w:t>
      </w:r>
      <w:r>
        <w:t xml:space="preserve"> oktatási intézményeknek – ismét jelentősen megváltozott a működése: az oktatási feladatokat ellátó közalkalmazottak átkerültek a </w:t>
      </w:r>
      <w:r w:rsidR="00797132" w:rsidRPr="00797132">
        <w:t>Klebelsberg Intézményfenntartó Központba</w:t>
      </w:r>
      <w:r w:rsidR="00797132" w:rsidRPr="008A6184">
        <w:t xml:space="preserve"> </w:t>
      </w:r>
      <w:r w:rsidRPr="008A6184">
        <w:t>(KIK)</w:t>
      </w:r>
      <w:r w:rsidR="00111CE7">
        <w:t xml:space="preserve">, míg a „technikai” személyzet (takarítók, karbantartók, uszoda működtetését ellátók) a GAMESZ állományába. </w:t>
      </w:r>
      <w:r w:rsidR="00386D89">
        <w:t>Ettől az időponttól</w:t>
      </w:r>
      <w:r w:rsidR="00111CE7">
        <w:t xml:space="preserve"> az oktatási intézmények – általános</w:t>
      </w:r>
      <w:r w:rsidR="00386D89">
        <w:t>-</w:t>
      </w:r>
      <w:r w:rsidR="00111CE7">
        <w:t xml:space="preserve"> és zeneiskola valamint az esti gimnázium – működtet</w:t>
      </w:r>
      <w:r w:rsidR="00386D89">
        <w:t>ő</w:t>
      </w:r>
      <w:r w:rsidR="00111CE7">
        <w:t>i feladatait az Önkormányzat nevében a GAMESZ látja el, melynek értelmében a költségvetés szerkezete is megváltozott</w:t>
      </w:r>
      <w:r w:rsidR="00386D89">
        <w:t>, s az oktatási intézmények szakfeladatai és dologi kiadásai ismét visszakerültek a GAMESZ költségvetésébe.</w:t>
      </w:r>
      <w:r w:rsidR="00111CE7">
        <w:t xml:space="preserve"> </w:t>
      </w:r>
    </w:p>
    <w:p w:rsidR="00EF4918" w:rsidRDefault="00386D89" w:rsidP="001D40C8">
      <w:pPr>
        <w:jc w:val="both"/>
      </w:pPr>
      <w:r>
        <w:t>Szintén a költségvetés szerkezetét érintő jelentős változás, hogy</w:t>
      </w:r>
      <w:r w:rsidR="00111CE7">
        <w:t xml:space="preserve"> ebben az évben a költségvetésben – és az éves gazdálkodás során – </w:t>
      </w:r>
      <w:r>
        <w:t>szét kell</w:t>
      </w:r>
      <w:r w:rsidR="00111CE7">
        <w:t xml:space="preserve"> választani </w:t>
      </w:r>
      <w:r>
        <w:t xml:space="preserve">egymástól </w:t>
      </w:r>
      <w:r w:rsidR="00111CE7">
        <w:t>az önkormányzati kötelező és önként vállalt feladatokat</w:t>
      </w:r>
      <w:r>
        <w:t>.</w:t>
      </w:r>
    </w:p>
    <w:p w:rsidR="00386D89" w:rsidRDefault="00386D89" w:rsidP="001D40C8">
      <w:pPr>
        <w:jc w:val="both"/>
      </w:pPr>
      <w:r>
        <w:t>Mindezen változások figyelembe vételével készültek el a költségvetés számszaki adatait tartalmazó táblázatok, melyek rövid szöveges magyarázatát az alábbiakban foglaljuk össze:</w:t>
      </w:r>
    </w:p>
    <w:p w:rsidR="00386D89" w:rsidRDefault="00386D89" w:rsidP="001D40C8">
      <w:pPr>
        <w:jc w:val="both"/>
      </w:pPr>
    </w:p>
    <w:p w:rsidR="00322BB0" w:rsidRDefault="00322BB0" w:rsidP="001D40C8">
      <w:pPr>
        <w:jc w:val="both"/>
      </w:pPr>
    </w:p>
    <w:p w:rsidR="00322BB0" w:rsidRPr="00322BB0" w:rsidRDefault="00322BB0" w:rsidP="001D40C8">
      <w:pPr>
        <w:jc w:val="both"/>
        <w:rPr>
          <w:b/>
        </w:rPr>
      </w:pPr>
      <w:r w:rsidRPr="00322BB0">
        <w:rPr>
          <w:b/>
        </w:rPr>
        <w:t>KIADÁSOK</w:t>
      </w:r>
    </w:p>
    <w:p w:rsidR="00571390" w:rsidRDefault="00571390" w:rsidP="001D40C8">
      <w:pPr>
        <w:jc w:val="both"/>
      </w:pPr>
    </w:p>
    <w:p w:rsidR="00571390" w:rsidRPr="00322BB0" w:rsidRDefault="00322BB0" w:rsidP="005C02A5">
      <w:pPr>
        <w:ind w:left="284"/>
        <w:jc w:val="both"/>
        <w:rPr>
          <w:b/>
          <w:i/>
        </w:rPr>
      </w:pPr>
      <w:r w:rsidRPr="00322BB0">
        <w:rPr>
          <w:b/>
          <w:i/>
        </w:rPr>
        <w:t>Személyi juttatások</w:t>
      </w:r>
    </w:p>
    <w:p w:rsidR="006B7C15" w:rsidRDefault="006B7C15" w:rsidP="001D40C8">
      <w:pPr>
        <w:jc w:val="both"/>
      </w:pPr>
    </w:p>
    <w:p w:rsidR="005A7233" w:rsidRDefault="005A7233" w:rsidP="005A7233">
      <w:pPr>
        <w:jc w:val="both"/>
      </w:pPr>
      <w:r>
        <w:t>A személyi juttatások megtervezése során figyelembe vételre került a minimálbér bruttó 93.000,- Ft-ról 98.000,- Ft-ra, a garantált bérminimum 108.000,- Ft-ról 114.000,- Ft-ra történő emelése, a közalkalmazotti bértáblában kötelezően meghatározott soros előrelépések, illetve az esedékes jubileumi jutalmak összege is.</w:t>
      </w:r>
    </w:p>
    <w:p w:rsidR="005A7233" w:rsidRDefault="005A7233" w:rsidP="005A7233">
      <w:pPr>
        <w:jc w:val="both"/>
      </w:pPr>
      <w:r>
        <w:t xml:space="preserve">A GAMESZ személyi juttatás előirányzatának keretében – az előző évhez hasonlóan – tervezésre került 25 fő, akiket a munka törvénykönyve alapján foglalkoztat a szervezet azok közül, akik a korábbi közcélú foglalkoztatás keretében megbízható munkaerőnek bizonyultak. </w:t>
      </w:r>
    </w:p>
    <w:p w:rsidR="00985DEC" w:rsidRDefault="003327A4" w:rsidP="001D40C8">
      <w:pPr>
        <w:jc w:val="both"/>
      </w:pPr>
      <w:r>
        <w:t xml:space="preserve">A tervezett étkezési hozzájárulás mértéke </w:t>
      </w:r>
      <w:r w:rsidR="00890D19">
        <w:t>8</w:t>
      </w:r>
      <w:r>
        <w:t xml:space="preserve">.000,- Ft/fő/hó Erzsébet utalvány formájában, míg a </w:t>
      </w:r>
      <w:r w:rsidR="002B467C">
        <w:t>konyhával rendelkező intézményekben 12.500,- Ft/fő/hó meleg étkezés formájában.</w:t>
      </w:r>
    </w:p>
    <w:p w:rsidR="00033D45" w:rsidRDefault="00033D45" w:rsidP="001D40C8">
      <w:pPr>
        <w:jc w:val="both"/>
      </w:pPr>
    </w:p>
    <w:p w:rsidR="006B7C15" w:rsidRDefault="006B7C15" w:rsidP="001D40C8">
      <w:pPr>
        <w:jc w:val="both"/>
      </w:pPr>
    </w:p>
    <w:p w:rsidR="00322BB0" w:rsidRPr="00322BB0" w:rsidRDefault="00322BB0" w:rsidP="005C02A5">
      <w:pPr>
        <w:ind w:left="284"/>
        <w:jc w:val="both"/>
        <w:rPr>
          <w:b/>
          <w:i/>
        </w:rPr>
      </w:pPr>
      <w:r w:rsidRPr="00322BB0">
        <w:rPr>
          <w:b/>
          <w:i/>
        </w:rPr>
        <w:t>Munkaadókat terhelő járulékok és szociális hozzájárulási adó</w:t>
      </w:r>
    </w:p>
    <w:p w:rsidR="006B7C15" w:rsidRDefault="006B7C15" w:rsidP="001D40C8">
      <w:pPr>
        <w:jc w:val="both"/>
      </w:pPr>
    </w:p>
    <w:p w:rsidR="00033D45" w:rsidRDefault="00722DEB" w:rsidP="001D40C8">
      <w:pPr>
        <w:jc w:val="both"/>
      </w:pPr>
      <w:r>
        <w:t>A szociális hozzájárulási adó az előző évinek megfelelően 27%. Az étkezési hozzájáruláshoz tervezett egészségügyi hozzájárulás a bruttó kifizetés 1,19-szeresének a 14%-</w:t>
      </w:r>
      <w:proofErr w:type="gramStart"/>
      <w:r>
        <w:t>a.</w:t>
      </w:r>
      <w:proofErr w:type="gramEnd"/>
    </w:p>
    <w:p w:rsidR="00033D45" w:rsidRDefault="00033D45" w:rsidP="001D40C8">
      <w:pPr>
        <w:jc w:val="both"/>
      </w:pPr>
    </w:p>
    <w:p w:rsidR="006B7C15" w:rsidRDefault="006B7C15" w:rsidP="001D40C8">
      <w:pPr>
        <w:jc w:val="both"/>
      </w:pPr>
    </w:p>
    <w:p w:rsidR="003536CD" w:rsidRDefault="003536CD" w:rsidP="001D40C8">
      <w:pPr>
        <w:jc w:val="both"/>
      </w:pPr>
    </w:p>
    <w:p w:rsidR="003536CD" w:rsidRDefault="003536CD" w:rsidP="001D40C8">
      <w:pPr>
        <w:jc w:val="both"/>
      </w:pPr>
      <w:bookmarkStart w:id="0" w:name="_GoBack"/>
      <w:bookmarkEnd w:id="0"/>
    </w:p>
    <w:p w:rsidR="00322BB0" w:rsidRPr="00322BB0" w:rsidRDefault="00322BB0" w:rsidP="00722DEB">
      <w:pPr>
        <w:keepNext/>
        <w:ind w:left="284"/>
        <w:jc w:val="both"/>
        <w:rPr>
          <w:b/>
          <w:i/>
        </w:rPr>
      </w:pPr>
      <w:r w:rsidRPr="00322BB0">
        <w:rPr>
          <w:b/>
          <w:i/>
        </w:rPr>
        <w:lastRenderedPageBreak/>
        <w:t>Dologi kiadások</w:t>
      </w:r>
    </w:p>
    <w:p w:rsidR="006B7C15" w:rsidRDefault="006B7C15" w:rsidP="001D40C8">
      <w:pPr>
        <w:jc w:val="both"/>
      </w:pPr>
    </w:p>
    <w:p w:rsidR="00722DEB" w:rsidRDefault="00722DEB" w:rsidP="00722DEB">
      <w:pPr>
        <w:jc w:val="both"/>
      </w:pPr>
      <w:r>
        <w:t>A dologi kiadások tervezése során figyelembe vételre került a 2012. évi kifizetetlen szállítóállomány, az infláció arányában várható áremelések.</w:t>
      </w:r>
    </w:p>
    <w:p w:rsidR="00722DEB" w:rsidRDefault="00722DEB" w:rsidP="00722DEB">
      <w:pPr>
        <w:jc w:val="both"/>
      </w:pPr>
      <w:r>
        <w:t>A tervezett dologi kiadások közül kiemelendő:</w:t>
      </w:r>
    </w:p>
    <w:tbl>
      <w:tblPr>
        <w:tblStyle w:val="Rcsostblzat"/>
        <w:tblW w:w="0" w:type="auto"/>
        <w:tblLook w:val="04A0" w:firstRow="1" w:lastRow="0" w:firstColumn="1" w:lastColumn="0" w:noHBand="0" w:noVBand="1"/>
      </w:tblPr>
      <w:tblGrid>
        <w:gridCol w:w="6629"/>
        <w:gridCol w:w="2583"/>
      </w:tblGrid>
      <w:tr w:rsidR="00722DEB" w:rsidTr="00614882">
        <w:tc>
          <w:tcPr>
            <w:tcW w:w="6629" w:type="dxa"/>
          </w:tcPr>
          <w:p w:rsidR="00722DEB" w:rsidRDefault="009F7714" w:rsidP="00614882">
            <w:pPr>
              <w:jc w:val="both"/>
            </w:pPr>
            <w:r>
              <w:t>Hulladékszállító gépjárművek bérleti díjai</w:t>
            </w:r>
          </w:p>
        </w:tc>
        <w:tc>
          <w:tcPr>
            <w:tcW w:w="2583" w:type="dxa"/>
            <w:vAlign w:val="center"/>
          </w:tcPr>
          <w:p w:rsidR="00722DEB" w:rsidRDefault="009F7714" w:rsidP="009F7714">
            <w:pPr>
              <w:jc w:val="right"/>
            </w:pPr>
            <w:r>
              <w:t>9.25</w:t>
            </w:r>
            <w:r w:rsidR="00722DEB">
              <w:t xml:space="preserve">0,- </w:t>
            </w:r>
            <w:proofErr w:type="spellStart"/>
            <w:r w:rsidR="00722DEB">
              <w:t>eFt</w:t>
            </w:r>
            <w:proofErr w:type="spellEnd"/>
            <w:r w:rsidR="00722DEB">
              <w:t xml:space="preserve"> + ÁFA</w:t>
            </w:r>
          </w:p>
        </w:tc>
      </w:tr>
      <w:tr w:rsidR="00794378" w:rsidTr="00614882">
        <w:tc>
          <w:tcPr>
            <w:tcW w:w="6629" w:type="dxa"/>
          </w:tcPr>
          <w:p w:rsidR="00794378" w:rsidRDefault="00794378" w:rsidP="00614882">
            <w:pPr>
              <w:jc w:val="both"/>
            </w:pPr>
            <w:r>
              <w:t>Hulladéklerakási díjak</w:t>
            </w:r>
          </w:p>
        </w:tc>
        <w:tc>
          <w:tcPr>
            <w:tcW w:w="2583" w:type="dxa"/>
            <w:vAlign w:val="center"/>
          </w:tcPr>
          <w:p w:rsidR="00794378" w:rsidRDefault="00794378" w:rsidP="00614882">
            <w:pPr>
              <w:jc w:val="right"/>
            </w:pPr>
            <w:r>
              <w:t xml:space="preserve">98.000,- </w:t>
            </w:r>
            <w:proofErr w:type="spellStart"/>
            <w:r>
              <w:t>eFt</w:t>
            </w:r>
            <w:proofErr w:type="spellEnd"/>
            <w:r>
              <w:t xml:space="preserve"> +ÁFA</w:t>
            </w:r>
          </w:p>
        </w:tc>
      </w:tr>
      <w:tr w:rsidR="00794378" w:rsidTr="00614882">
        <w:tc>
          <w:tcPr>
            <w:tcW w:w="6629" w:type="dxa"/>
          </w:tcPr>
          <w:p w:rsidR="00794378" w:rsidRDefault="00794378" w:rsidP="00614882">
            <w:pPr>
              <w:jc w:val="both"/>
            </w:pPr>
            <w:r>
              <w:t>Élelmiszer beszerzés (bölcsőde konyha)</w:t>
            </w:r>
          </w:p>
        </w:tc>
        <w:tc>
          <w:tcPr>
            <w:tcW w:w="2583" w:type="dxa"/>
            <w:vAlign w:val="center"/>
          </w:tcPr>
          <w:p w:rsidR="00794378" w:rsidRDefault="00794378" w:rsidP="009F7714">
            <w:pPr>
              <w:jc w:val="right"/>
            </w:pPr>
            <w:r>
              <w:t xml:space="preserve">9.105,- </w:t>
            </w:r>
            <w:proofErr w:type="spellStart"/>
            <w:r>
              <w:t>eFt</w:t>
            </w:r>
            <w:proofErr w:type="spellEnd"/>
            <w:r>
              <w:t xml:space="preserve"> +ÁFA</w:t>
            </w:r>
          </w:p>
        </w:tc>
      </w:tr>
      <w:tr w:rsidR="00794378" w:rsidTr="00614882">
        <w:tc>
          <w:tcPr>
            <w:tcW w:w="6629" w:type="dxa"/>
          </w:tcPr>
          <w:p w:rsidR="00794378" w:rsidRDefault="00794378" w:rsidP="00794378">
            <w:pPr>
              <w:jc w:val="both"/>
            </w:pPr>
            <w:r>
              <w:t>Élelmiszer beszerzés (óvoda konyha)</w:t>
            </w:r>
          </w:p>
        </w:tc>
        <w:tc>
          <w:tcPr>
            <w:tcW w:w="2583" w:type="dxa"/>
            <w:vAlign w:val="center"/>
          </w:tcPr>
          <w:p w:rsidR="00794378" w:rsidRDefault="00794378" w:rsidP="009F7714">
            <w:pPr>
              <w:jc w:val="right"/>
            </w:pPr>
            <w:r>
              <w:t xml:space="preserve">70.904,- </w:t>
            </w:r>
            <w:proofErr w:type="spellStart"/>
            <w:r>
              <w:t>eFt</w:t>
            </w:r>
            <w:proofErr w:type="spellEnd"/>
            <w:r>
              <w:t xml:space="preserve"> +ÁFA</w:t>
            </w:r>
          </w:p>
        </w:tc>
      </w:tr>
      <w:tr w:rsidR="00794378" w:rsidTr="00614882">
        <w:tc>
          <w:tcPr>
            <w:tcW w:w="6629" w:type="dxa"/>
          </w:tcPr>
          <w:p w:rsidR="00794378" w:rsidRDefault="00794378" w:rsidP="00794378">
            <w:pPr>
              <w:jc w:val="both"/>
            </w:pPr>
            <w:r>
              <w:t>Élelmiszer beszerzés (iskola konyha)</w:t>
            </w:r>
          </w:p>
        </w:tc>
        <w:tc>
          <w:tcPr>
            <w:tcW w:w="2583" w:type="dxa"/>
            <w:vAlign w:val="center"/>
          </w:tcPr>
          <w:p w:rsidR="00794378" w:rsidRDefault="00794378" w:rsidP="00614882">
            <w:pPr>
              <w:jc w:val="right"/>
            </w:pPr>
            <w:r>
              <w:t xml:space="preserve">58.604,- </w:t>
            </w:r>
            <w:proofErr w:type="spellStart"/>
            <w:r>
              <w:t>eFt</w:t>
            </w:r>
            <w:proofErr w:type="spellEnd"/>
            <w:r>
              <w:t xml:space="preserve"> +ÁFA</w:t>
            </w:r>
          </w:p>
        </w:tc>
      </w:tr>
      <w:tr w:rsidR="00794378" w:rsidTr="00614882">
        <w:tc>
          <w:tcPr>
            <w:tcW w:w="6629" w:type="dxa"/>
          </w:tcPr>
          <w:p w:rsidR="00794378" w:rsidRDefault="00794378" w:rsidP="00614882">
            <w:pPr>
              <w:jc w:val="both"/>
            </w:pPr>
            <w:r>
              <w:t xml:space="preserve">Kaszálás, parlagfű </w:t>
            </w:r>
            <w:proofErr w:type="gramStart"/>
            <w:r>
              <w:t>mentesítés</w:t>
            </w:r>
            <w:proofErr w:type="gramEnd"/>
          </w:p>
        </w:tc>
        <w:tc>
          <w:tcPr>
            <w:tcW w:w="2583" w:type="dxa"/>
            <w:vAlign w:val="center"/>
          </w:tcPr>
          <w:p w:rsidR="00794378" w:rsidRDefault="00794378" w:rsidP="00614882">
            <w:pPr>
              <w:jc w:val="right"/>
            </w:pPr>
            <w:r>
              <w:t xml:space="preserve">7.500,- </w:t>
            </w:r>
            <w:proofErr w:type="spellStart"/>
            <w:r>
              <w:t>eFt</w:t>
            </w:r>
            <w:proofErr w:type="spellEnd"/>
            <w:r>
              <w:t xml:space="preserve"> +ÁFA</w:t>
            </w:r>
          </w:p>
        </w:tc>
      </w:tr>
      <w:tr w:rsidR="00794378" w:rsidTr="00614882">
        <w:tc>
          <w:tcPr>
            <w:tcW w:w="6629" w:type="dxa"/>
          </w:tcPr>
          <w:p w:rsidR="00794378" w:rsidRDefault="00794378" w:rsidP="00614882">
            <w:pPr>
              <w:jc w:val="both"/>
            </w:pPr>
            <w:r>
              <w:t>Útszóró só</w:t>
            </w:r>
          </w:p>
        </w:tc>
        <w:tc>
          <w:tcPr>
            <w:tcW w:w="2583" w:type="dxa"/>
            <w:vAlign w:val="center"/>
          </w:tcPr>
          <w:p w:rsidR="00794378" w:rsidRDefault="00794378" w:rsidP="00614882">
            <w:pPr>
              <w:jc w:val="right"/>
            </w:pPr>
            <w:r>
              <w:t xml:space="preserve">3.500,- </w:t>
            </w:r>
            <w:proofErr w:type="spellStart"/>
            <w:r>
              <w:t>eFt</w:t>
            </w:r>
            <w:proofErr w:type="spellEnd"/>
            <w:r>
              <w:t xml:space="preserve"> + ÁFA</w:t>
            </w:r>
          </w:p>
        </w:tc>
      </w:tr>
      <w:tr w:rsidR="00794378" w:rsidTr="00614882">
        <w:tc>
          <w:tcPr>
            <w:tcW w:w="6629" w:type="dxa"/>
          </w:tcPr>
          <w:p w:rsidR="00794378" w:rsidRDefault="00794378" w:rsidP="00614882">
            <w:pPr>
              <w:jc w:val="both"/>
            </w:pPr>
            <w:r>
              <w:t>Hó eltakarítás, sózás szolgáltatási díjai</w:t>
            </w:r>
          </w:p>
        </w:tc>
        <w:tc>
          <w:tcPr>
            <w:tcW w:w="2583" w:type="dxa"/>
            <w:vAlign w:val="center"/>
          </w:tcPr>
          <w:p w:rsidR="00794378" w:rsidRDefault="00794378" w:rsidP="009F7714">
            <w:pPr>
              <w:jc w:val="right"/>
            </w:pPr>
            <w:r>
              <w:t xml:space="preserve">15.000,- </w:t>
            </w:r>
            <w:proofErr w:type="spellStart"/>
            <w:r>
              <w:t>eFt</w:t>
            </w:r>
            <w:proofErr w:type="spellEnd"/>
            <w:r>
              <w:t xml:space="preserve"> + ÁFA</w:t>
            </w:r>
          </w:p>
        </w:tc>
      </w:tr>
      <w:tr w:rsidR="00794378" w:rsidTr="00614882">
        <w:tc>
          <w:tcPr>
            <w:tcW w:w="6629" w:type="dxa"/>
          </w:tcPr>
          <w:p w:rsidR="00794378" w:rsidRDefault="00794378" w:rsidP="00614882">
            <w:pPr>
              <w:jc w:val="both"/>
            </w:pPr>
            <w:r>
              <w:t>Medveotthon üzemeltetése</w:t>
            </w:r>
          </w:p>
        </w:tc>
        <w:tc>
          <w:tcPr>
            <w:tcW w:w="2583" w:type="dxa"/>
            <w:vAlign w:val="center"/>
          </w:tcPr>
          <w:p w:rsidR="00794378" w:rsidRDefault="00794378" w:rsidP="009F7714">
            <w:pPr>
              <w:jc w:val="right"/>
            </w:pPr>
            <w:r>
              <w:t xml:space="preserve">29.000,- </w:t>
            </w:r>
            <w:proofErr w:type="spellStart"/>
            <w:r>
              <w:t>eFt</w:t>
            </w:r>
            <w:proofErr w:type="spellEnd"/>
            <w:r>
              <w:t xml:space="preserve"> + ÁFA</w:t>
            </w:r>
          </w:p>
        </w:tc>
      </w:tr>
    </w:tbl>
    <w:p w:rsidR="00E8691B" w:rsidRDefault="00E8691B" w:rsidP="001D40C8">
      <w:pPr>
        <w:jc w:val="both"/>
      </w:pPr>
    </w:p>
    <w:p w:rsidR="00722DEB" w:rsidRDefault="00722DEB" w:rsidP="001D40C8">
      <w:pPr>
        <w:jc w:val="both"/>
      </w:pPr>
    </w:p>
    <w:p w:rsidR="00322BB0" w:rsidRPr="00322BB0" w:rsidRDefault="00322BB0" w:rsidP="001D40C8">
      <w:pPr>
        <w:jc w:val="both"/>
        <w:rPr>
          <w:b/>
        </w:rPr>
      </w:pPr>
      <w:r w:rsidRPr="00322BB0">
        <w:rPr>
          <w:b/>
        </w:rPr>
        <w:t>BEVÉTELEK</w:t>
      </w:r>
    </w:p>
    <w:p w:rsidR="00322BB0" w:rsidRDefault="00322BB0" w:rsidP="001D40C8">
      <w:pPr>
        <w:jc w:val="both"/>
      </w:pPr>
    </w:p>
    <w:p w:rsidR="00322BB0" w:rsidRPr="00322BB0" w:rsidRDefault="00322BB0" w:rsidP="005C02A5">
      <w:pPr>
        <w:ind w:left="284"/>
        <w:jc w:val="both"/>
        <w:rPr>
          <w:b/>
          <w:i/>
        </w:rPr>
      </w:pPr>
      <w:r w:rsidRPr="00322BB0">
        <w:rPr>
          <w:b/>
          <w:i/>
        </w:rPr>
        <w:t>Intézményi működési bevételek</w:t>
      </w:r>
    </w:p>
    <w:p w:rsidR="006B7C15" w:rsidRDefault="006B7C15" w:rsidP="001D40C8">
      <w:pPr>
        <w:jc w:val="both"/>
      </w:pPr>
    </w:p>
    <w:p w:rsidR="004619D2" w:rsidRDefault="004619D2" w:rsidP="004619D2">
      <w:pPr>
        <w:jc w:val="both"/>
      </w:pPr>
      <w:r>
        <w:t>A működési bevételek között tervezte meg valamennyi intézmény a működéséhez kapcsolódó bevételeit, melyek közül a teljesség igénye nélkül kiemelhetőek a különböző térítési (pl. étkezési), bérleti díjak (pl. terem, eszköz, stb.) illetve belépő díjak (medveotthon, fürdő, strand, uszoda, kulturális rendezvények, stb.), a nyújtott szolgáltatások ellenértékének bevételei (pl. termálfűtés, szemétszállítás). A bevételek tervezése során figyelembe vételre került a kapacitásváltozásokhoz igazított várható teljesítés és a hátralékok beszedéséből származó bevételrész is.</w:t>
      </w:r>
    </w:p>
    <w:p w:rsidR="004619D2" w:rsidRDefault="004619D2" w:rsidP="004619D2">
      <w:pPr>
        <w:jc w:val="both"/>
      </w:pPr>
      <w:r>
        <w:t>A tervezett nettó bevételek közül a jelentősebbek a következők:</w:t>
      </w:r>
    </w:p>
    <w:tbl>
      <w:tblPr>
        <w:tblStyle w:val="Rcsostblzat"/>
        <w:tblW w:w="0" w:type="auto"/>
        <w:tblLook w:val="04A0" w:firstRow="1" w:lastRow="0" w:firstColumn="1" w:lastColumn="0" w:noHBand="0" w:noVBand="1"/>
      </w:tblPr>
      <w:tblGrid>
        <w:gridCol w:w="7479"/>
        <w:gridCol w:w="1733"/>
      </w:tblGrid>
      <w:tr w:rsidR="004619D2" w:rsidTr="00614882">
        <w:tc>
          <w:tcPr>
            <w:tcW w:w="7479" w:type="dxa"/>
          </w:tcPr>
          <w:p w:rsidR="004619D2" w:rsidRDefault="004619D2" w:rsidP="00614882">
            <w:pPr>
              <w:jc w:val="both"/>
            </w:pPr>
            <w:r w:rsidRPr="00E22632">
              <w:rPr>
                <w:i/>
              </w:rPr>
              <w:t xml:space="preserve">Termálfűtés </w:t>
            </w:r>
            <w:r>
              <w:t>– az új kút beüzemelését követően a várható bevétel</w:t>
            </w:r>
          </w:p>
        </w:tc>
        <w:tc>
          <w:tcPr>
            <w:tcW w:w="1733" w:type="dxa"/>
            <w:vAlign w:val="center"/>
          </w:tcPr>
          <w:p w:rsidR="004619D2" w:rsidRDefault="00DC4E91" w:rsidP="00614882">
            <w:pPr>
              <w:jc w:val="right"/>
            </w:pPr>
            <w:r>
              <w:t>112.500</w:t>
            </w:r>
            <w:r w:rsidR="004619D2">
              <w:t xml:space="preserve">,- </w:t>
            </w:r>
            <w:proofErr w:type="spellStart"/>
            <w:r w:rsidR="004619D2">
              <w:t>eFt</w:t>
            </w:r>
            <w:proofErr w:type="spellEnd"/>
          </w:p>
        </w:tc>
      </w:tr>
      <w:tr w:rsidR="004619D2" w:rsidTr="00614882">
        <w:tc>
          <w:tcPr>
            <w:tcW w:w="7479" w:type="dxa"/>
          </w:tcPr>
          <w:p w:rsidR="004619D2" w:rsidRDefault="004619D2" w:rsidP="00614882">
            <w:pPr>
              <w:jc w:val="both"/>
            </w:pPr>
            <w:r w:rsidRPr="00E22632">
              <w:rPr>
                <w:i/>
              </w:rPr>
              <w:t>Szemétszállítás</w:t>
            </w:r>
            <w:r>
              <w:t xml:space="preserve"> – a behajtási folyamat eredményességének javulása és a fizetési hajlandóság növekedésének növekedése alapján várható bevétel</w:t>
            </w:r>
          </w:p>
        </w:tc>
        <w:tc>
          <w:tcPr>
            <w:tcW w:w="1733" w:type="dxa"/>
            <w:vAlign w:val="center"/>
          </w:tcPr>
          <w:p w:rsidR="004619D2" w:rsidRDefault="00DC4E91" w:rsidP="00614882">
            <w:pPr>
              <w:jc w:val="right"/>
            </w:pPr>
            <w:r>
              <w:t>158.685</w:t>
            </w:r>
            <w:r w:rsidR="004619D2">
              <w:t xml:space="preserve">,- </w:t>
            </w:r>
            <w:proofErr w:type="spellStart"/>
            <w:r w:rsidR="004619D2">
              <w:t>eFt</w:t>
            </w:r>
            <w:proofErr w:type="spellEnd"/>
          </w:p>
        </w:tc>
      </w:tr>
      <w:tr w:rsidR="004619D2" w:rsidTr="00614882">
        <w:tc>
          <w:tcPr>
            <w:tcW w:w="7479" w:type="dxa"/>
          </w:tcPr>
          <w:p w:rsidR="004619D2" w:rsidRDefault="004619D2" w:rsidP="00614882">
            <w:pPr>
              <w:jc w:val="both"/>
            </w:pPr>
            <w:r w:rsidRPr="00E22632">
              <w:rPr>
                <w:i/>
              </w:rPr>
              <w:t>Piac</w:t>
            </w:r>
            <w:r>
              <w:t xml:space="preserve"> és egyéb közterület foglalási díjak</w:t>
            </w:r>
          </w:p>
        </w:tc>
        <w:tc>
          <w:tcPr>
            <w:tcW w:w="1733" w:type="dxa"/>
            <w:vAlign w:val="center"/>
          </w:tcPr>
          <w:p w:rsidR="004619D2" w:rsidRDefault="00DC4E91" w:rsidP="00614882">
            <w:pPr>
              <w:jc w:val="right"/>
            </w:pPr>
            <w:r>
              <w:t>49.300</w:t>
            </w:r>
            <w:r w:rsidR="004619D2">
              <w:t xml:space="preserve">,- </w:t>
            </w:r>
            <w:proofErr w:type="spellStart"/>
            <w:r w:rsidR="004619D2">
              <w:t>eFt</w:t>
            </w:r>
            <w:proofErr w:type="spellEnd"/>
          </w:p>
        </w:tc>
      </w:tr>
      <w:tr w:rsidR="004619D2" w:rsidTr="00614882">
        <w:tc>
          <w:tcPr>
            <w:tcW w:w="7479" w:type="dxa"/>
          </w:tcPr>
          <w:p w:rsidR="004619D2" w:rsidRDefault="004619D2" w:rsidP="00614882">
            <w:pPr>
              <w:jc w:val="both"/>
            </w:pPr>
            <w:r w:rsidRPr="00074E1A">
              <w:rPr>
                <w:i/>
              </w:rPr>
              <w:t>Medveotthon</w:t>
            </w:r>
            <w:r>
              <w:t xml:space="preserve"> bevételei (belépők, parkolás, képeslap, stb.)</w:t>
            </w:r>
          </w:p>
        </w:tc>
        <w:tc>
          <w:tcPr>
            <w:tcW w:w="1733" w:type="dxa"/>
            <w:vAlign w:val="center"/>
          </w:tcPr>
          <w:p w:rsidR="004619D2" w:rsidRDefault="00797132" w:rsidP="00614882">
            <w:pPr>
              <w:jc w:val="right"/>
            </w:pPr>
            <w:r>
              <w:t>70.000</w:t>
            </w:r>
            <w:r w:rsidR="004619D2">
              <w:t xml:space="preserve">,- </w:t>
            </w:r>
            <w:proofErr w:type="spellStart"/>
            <w:r w:rsidR="004619D2">
              <w:t>eFt</w:t>
            </w:r>
            <w:proofErr w:type="spellEnd"/>
          </w:p>
        </w:tc>
      </w:tr>
      <w:tr w:rsidR="004619D2" w:rsidTr="00614882">
        <w:tc>
          <w:tcPr>
            <w:tcW w:w="7479" w:type="dxa"/>
          </w:tcPr>
          <w:p w:rsidR="004619D2" w:rsidRDefault="004619D2" w:rsidP="00614882">
            <w:pPr>
              <w:jc w:val="both"/>
            </w:pPr>
            <w:r w:rsidRPr="00074E1A">
              <w:rPr>
                <w:i/>
              </w:rPr>
              <w:t>Termálfürdő, strand</w:t>
            </w:r>
            <w:r>
              <w:t xml:space="preserve"> bevételei</w:t>
            </w:r>
          </w:p>
        </w:tc>
        <w:tc>
          <w:tcPr>
            <w:tcW w:w="1733" w:type="dxa"/>
            <w:vAlign w:val="center"/>
          </w:tcPr>
          <w:p w:rsidR="004619D2" w:rsidRDefault="00DC4E91" w:rsidP="00614882">
            <w:pPr>
              <w:jc w:val="right"/>
            </w:pPr>
            <w:r>
              <w:t>38.000</w:t>
            </w:r>
            <w:r w:rsidR="004619D2">
              <w:t xml:space="preserve">,- </w:t>
            </w:r>
            <w:proofErr w:type="spellStart"/>
            <w:r w:rsidR="004619D2">
              <w:t>eFt</w:t>
            </w:r>
            <w:proofErr w:type="spellEnd"/>
          </w:p>
        </w:tc>
      </w:tr>
      <w:tr w:rsidR="004619D2" w:rsidTr="00614882">
        <w:tc>
          <w:tcPr>
            <w:tcW w:w="7479" w:type="dxa"/>
          </w:tcPr>
          <w:p w:rsidR="004619D2" w:rsidRDefault="004619D2" w:rsidP="00614882">
            <w:pPr>
              <w:jc w:val="both"/>
            </w:pPr>
            <w:r w:rsidRPr="00074E1A">
              <w:rPr>
                <w:i/>
              </w:rPr>
              <w:t>Óvodai étkeztetés</w:t>
            </w:r>
            <w:r>
              <w:t xml:space="preserve"> bevételei</w:t>
            </w:r>
          </w:p>
        </w:tc>
        <w:tc>
          <w:tcPr>
            <w:tcW w:w="1733" w:type="dxa"/>
            <w:vAlign w:val="center"/>
          </w:tcPr>
          <w:p w:rsidR="004619D2" w:rsidRDefault="00797132" w:rsidP="00614882">
            <w:pPr>
              <w:jc w:val="right"/>
            </w:pPr>
            <w:r>
              <w:t>72.758</w:t>
            </w:r>
            <w:r w:rsidR="004619D2">
              <w:t xml:space="preserve">,- </w:t>
            </w:r>
            <w:proofErr w:type="spellStart"/>
            <w:r w:rsidR="004619D2">
              <w:t>eFt</w:t>
            </w:r>
            <w:proofErr w:type="spellEnd"/>
          </w:p>
        </w:tc>
      </w:tr>
      <w:tr w:rsidR="004619D2" w:rsidTr="00614882">
        <w:tc>
          <w:tcPr>
            <w:tcW w:w="7479" w:type="dxa"/>
          </w:tcPr>
          <w:p w:rsidR="004619D2" w:rsidRDefault="004619D2" w:rsidP="00614882">
            <w:pPr>
              <w:jc w:val="both"/>
            </w:pPr>
            <w:r w:rsidRPr="00074E1A">
              <w:rPr>
                <w:i/>
              </w:rPr>
              <w:t>Iskolai étkeztetés</w:t>
            </w:r>
            <w:r>
              <w:t xml:space="preserve"> bevételei</w:t>
            </w:r>
          </w:p>
        </w:tc>
        <w:tc>
          <w:tcPr>
            <w:tcW w:w="1733" w:type="dxa"/>
            <w:vAlign w:val="center"/>
          </w:tcPr>
          <w:p w:rsidR="004619D2" w:rsidRDefault="00DC4E91" w:rsidP="00614882">
            <w:pPr>
              <w:jc w:val="right"/>
            </w:pPr>
            <w:r>
              <w:t>61.296</w:t>
            </w:r>
            <w:r w:rsidR="004619D2">
              <w:t xml:space="preserve">,- </w:t>
            </w:r>
            <w:proofErr w:type="spellStart"/>
            <w:r w:rsidR="004619D2">
              <w:t>eFt</w:t>
            </w:r>
            <w:proofErr w:type="spellEnd"/>
          </w:p>
        </w:tc>
      </w:tr>
      <w:tr w:rsidR="004619D2" w:rsidTr="00614882">
        <w:tc>
          <w:tcPr>
            <w:tcW w:w="7479" w:type="dxa"/>
          </w:tcPr>
          <w:p w:rsidR="004619D2" w:rsidRDefault="004619D2" w:rsidP="00614882">
            <w:pPr>
              <w:jc w:val="both"/>
            </w:pPr>
            <w:r w:rsidRPr="00074E1A">
              <w:rPr>
                <w:i/>
              </w:rPr>
              <w:t xml:space="preserve">Sportlétesítmények </w:t>
            </w:r>
            <w:r>
              <w:t>bevételei (iskolai uszoda, tornaterem)</w:t>
            </w:r>
          </w:p>
        </w:tc>
        <w:tc>
          <w:tcPr>
            <w:tcW w:w="1733" w:type="dxa"/>
            <w:vAlign w:val="center"/>
          </w:tcPr>
          <w:p w:rsidR="004619D2" w:rsidRDefault="00DC4E91" w:rsidP="00614882">
            <w:pPr>
              <w:jc w:val="right"/>
            </w:pPr>
            <w:r>
              <w:t>62.000</w:t>
            </w:r>
            <w:r w:rsidR="004619D2">
              <w:t xml:space="preserve">,- </w:t>
            </w:r>
            <w:proofErr w:type="spellStart"/>
            <w:r w:rsidR="004619D2">
              <w:t>eFt</w:t>
            </w:r>
            <w:proofErr w:type="spellEnd"/>
          </w:p>
        </w:tc>
      </w:tr>
    </w:tbl>
    <w:p w:rsidR="004619D2" w:rsidRDefault="004619D2" w:rsidP="001D40C8">
      <w:pPr>
        <w:jc w:val="both"/>
      </w:pPr>
    </w:p>
    <w:p w:rsidR="00322BB0" w:rsidRPr="00322BB0" w:rsidRDefault="00322BB0" w:rsidP="005C02A5">
      <w:pPr>
        <w:ind w:left="284"/>
        <w:jc w:val="both"/>
        <w:rPr>
          <w:b/>
          <w:i/>
        </w:rPr>
      </w:pPr>
      <w:r w:rsidRPr="00322BB0">
        <w:rPr>
          <w:b/>
          <w:i/>
        </w:rPr>
        <w:t>Támogatási értékű bevételek</w:t>
      </w:r>
    </w:p>
    <w:p w:rsidR="006B7C15" w:rsidRDefault="006B7C15" w:rsidP="001D40C8">
      <w:pPr>
        <w:jc w:val="both"/>
      </w:pPr>
    </w:p>
    <w:p w:rsidR="009B3AAF" w:rsidRDefault="009B3AAF" w:rsidP="001D40C8">
      <w:pPr>
        <w:jc w:val="both"/>
      </w:pPr>
      <w:r>
        <w:t>A GAMESZ itt tervezte meg a 201</w:t>
      </w:r>
      <w:r w:rsidR="00890D19">
        <w:t>2</w:t>
      </w:r>
      <w:r>
        <w:t xml:space="preserve">. évben felvett közcélú foglalkoztatottak bér-, és járulék kifizetéseihez kapcsolódóan megigényelt állami támogatást </w:t>
      </w:r>
      <w:r w:rsidR="00890D19">
        <w:t>2.000</w:t>
      </w:r>
      <w:r>
        <w:t xml:space="preserve">,- </w:t>
      </w:r>
      <w:proofErr w:type="spellStart"/>
      <w:r>
        <w:t>eFt</w:t>
      </w:r>
      <w:proofErr w:type="spellEnd"/>
      <w:r>
        <w:t xml:space="preserve"> értékben.</w:t>
      </w:r>
      <w:r w:rsidR="00033D45">
        <w:t xml:space="preserve"> A 201</w:t>
      </w:r>
      <w:r w:rsidR="00890D19">
        <w:t>3</w:t>
      </w:r>
      <w:r w:rsidR="00033D45">
        <w:t>. évi közcélú foglalkoztatási programok a költségvetés tervezéséig nem indultak el, így tervezésükre sem kerülhetett sor a feltételek ismeretének hiányában.</w:t>
      </w:r>
    </w:p>
    <w:p w:rsidR="003536CD" w:rsidRDefault="003536CD" w:rsidP="001D40C8">
      <w:pPr>
        <w:jc w:val="both"/>
      </w:pPr>
    </w:p>
    <w:p w:rsidR="003536CD" w:rsidRDefault="003536CD" w:rsidP="001D40C8">
      <w:pPr>
        <w:jc w:val="both"/>
      </w:pPr>
      <w:r>
        <w:tab/>
      </w:r>
      <w:r>
        <w:tab/>
      </w:r>
      <w:r>
        <w:tab/>
      </w:r>
      <w:r>
        <w:tab/>
      </w:r>
      <w:r>
        <w:tab/>
      </w:r>
      <w:r>
        <w:tab/>
      </w:r>
      <w:r>
        <w:tab/>
      </w:r>
      <w:r>
        <w:tab/>
      </w:r>
      <w:r>
        <w:tab/>
      </w:r>
      <w:r>
        <w:tab/>
        <w:t>Kovács Zsuzsanna</w:t>
      </w:r>
    </w:p>
    <w:p w:rsidR="003536CD" w:rsidRDefault="003536CD" w:rsidP="001D40C8">
      <w:pPr>
        <w:jc w:val="both"/>
      </w:pPr>
      <w:r>
        <w:tab/>
      </w:r>
      <w:r>
        <w:tab/>
      </w:r>
      <w:r>
        <w:tab/>
      </w:r>
      <w:r>
        <w:tab/>
      </w:r>
      <w:r>
        <w:tab/>
      </w:r>
      <w:r>
        <w:tab/>
      </w:r>
      <w:r>
        <w:tab/>
      </w:r>
      <w:r>
        <w:tab/>
      </w:r>
      <w:r>
        <w:tab/>
      </w:r>
      <w:r>
        <w:tab/>
      </w:r>
      <w:proofErr w:type="gramStart"/>
      <w:r>
        <w:t>gazdasági</w:t>
      </w:r>
      <w:proofErr w:type="gramEnd"/>
      <w:r>
        <w:t xml:space="preserve"> vezető</w:t>
      </w:r>
    </w:p>
    <w:sectPr w:rsidR="003536CD" w:rsidSect="003536CD">
      <w:head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41D" w:rsidRDefault="006D741D">
      <w:r>
        <w:separator/>
      </w:r>
    </w:p>
  </w:endnote>
  <w:endnote w:type="continuationSeparator" w:id="0">
    <w:p w:rsidR="006D741D" w:rsidRDefault="006D7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41D" w:rsidRDefault="006D741D">
      <w:r>
        <w:separator/>
      </w:r>
    </w:p>
  </w:footnote>
  <w:footnote w:type="continuationSeparator" w:id="0">
    <w:p w:rsidR="006D741D" w:rsidRDefault="006D74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1DE" w:rsidRPr="003E1DBC" w:rsidRDefault="000B51DE" w:rsidP="00E40277">
    <w:pPr>
      <w:ind w:right="-648" w:hanging="1080"/>
      <w:jc w:val="center"/>
      <w:rPr>
        <w:b/>
        <w:bCs/>
      </w:rPr>
    </w:pPr>
    <w:r>
      <w:rPr>
        <w:noProof/>
      </w:rPr>
      <w:drawing>
        <wp:anchor distT="0" distB="0" distL="114300" distR="114300" simplePos="0" relativeHeight="251660288" behindDoc="0" locked="0" layoutInCell="1" allowOverlap="1" wp14:anchorId="0E02C7ED" wp14:editId="1BBC7DC8">
          <wp:simplePos x="0" y="0"/>
          <wp:positionH relativeFrom="column">
            <wp:posOffset>4509770</wp:posOffset>
          </wp:positionH>
          <wp:positionV relativeFrom="paragraph">
            <wp:posOffset>-188595</wp:posOffset>
          </wp:positionV>
          <wp:extent cx="1583690" cy="1210945"/>
          <wp:effectExtent l="0" t="0" r="0" b="8255"/>
          <wp:wrapSquare wrapText="bothSides"/>
          <wp:docPr id="1" name="Kép 2" descr="gamesz_logo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gamesz_logo_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12109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9321B5A" wp14:editId="0250204B">
          <wp:simplePos x="0" y="0"/>
          <wp:positionH relativeFrom="column">
            <wp:posOffset>-109220</wp:posOffset>
          </wp:positionH>
          <wp:positionV relativeFrom="paragraph">
            <wp:posOffset>-117475</wp:posOffset>
          </wp:positionV>
          <wp:extent cx="833120" cy="1068705"/>
          <wp:effectExtent l="0" t="0" r="5080" b="0"/>
          <wp:wrapSquare wrapText="bothSides"/>
          <wp:docPr id="2" name="Kép 4" descr="Veresegyhaz_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Veresegyhaz_cim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3120" cy="1068705"/>
                  </a:xfrm>
                  <a:prstGeom prst="rect">
                    <a:avLst/>
                  </a:prstGeom>
                  <a:noFill/>
                </pic:spPr>
              </pic:pic>
            </a:graphicData>
          </a:graphic>
          <wp14:sizeRelH relativeFrom="page">
            <wp14:pctWidth>0</wp14:pctWidth>
          </wp14:sizeRelH>
          <wp14:sizeRelV relativeFrom="page">
            <wp14:pctHeight>0</wp14:pctHeight>
          </wp14:sizeRelV>
        </wp:anchor>
      </w:drawing>
    </w:r>
    <w:r w:rsidRPr="003E1DBC">
      <w:rPr>
        <w:b/>
        <w:bCs/>
      </w:rPr>
      <w:t>VERESEGYHÁZ VÁROS ÖNKORMÁNYZAT</w:t>
    </w:r>
  </w:p>
  <w:p w:rsidR="000B51DE" w:rsidRPr="003E1DBC" w:rsidRDefault="000B51DE" w:rsidP="00E40277">
    <w:pPr>
      <w:ind w:right="-648" w:hanging="1080"/>
      <w:jc w:val="center"/>
      <w:rPr>
        <w:b/>
        <w:bCs/>
      </w:rPr>
    </w:pPr>
    <w:r w:rsidRPr="003E1DBC">
      <w:rPr>
        <w:b/>
        <w:bCs/>
      </w:rPr>
      <w:t>GAZDASÁGI MŰSZAKI ELLÁTÓ SZERVEZET</w:t>
    </w:r>
  </w:p>
  <w:p w:rsidR="000B51DE" w:rsidRPr="003E1DBC" w:rsidRDefault="000B51DE" w:rsidP="00E40277">
    <w:pPr>
      <w:ind w:right="-648" w:hanging="1080"/>
      <w:jc w:val="center"/>
    </w:pPr>
    <w:r w:rsidRPr="003E1DBC">
      <w:t>2112</w:t>
    </w:r>
    <w:r>
      <w:t>.</w:t>
    </w:r>
    <w:r w:rsidRPr="003E1DBC">
      <w:t xml:space="preserve"> Veresegyház, Sport utca 4.</w:t>
    </w:r>
  </w:p>
  <w:p w:rsidR="000B51DE" w:rsidRPr="003E1DBC" w:rsidRDefault="000B51DE" w:rsidP="00E40277">
    <w:pPr>
      <w:ind w:right="-648" w:hanging="1080"/>
      <w:jc w:val="center"/>
    </w:pPr>
    <w:r w:rsidRPr="003E1DBC">
      <w:t>Telefon: (28) 585-190; Fax: (28) 586-045</w:t>
    </w:r>
  </w:p>
  <w:p w:rsidR="000B51DE" w:rsidRPr="003E1DBC" w:rsidRDefault="000B51DE" w:rsidP="00E40277">
    <w:pPr>
      <w:ind w:right="-648" w:hanging="1080"/>
      <w:jc w:val="center"/>
    </w:pPr>
    <w:r w:rsidRPr="003E1DBC">
      <w:t xml:space="preserve">E-mail: </w:t>
    </w:r>
    <w:hyperlink r:id="rId3" w:history="1">
      <w:r w:rsidRPr="009A5B8D">
        <w:rPr>
          <w:rStyle w:val="Hiperhivatkozs"/>
        </w:rPr>
        <w:t>gamesz@veresegyhaz.hu</w:t>
      </w:r>
    </w:hyperlink>
  </w:p>
  <w:p w:rsidR="000B51DE" w:rsidRPr="003E1DBC" w:rsidRDefault="000B51DE" w:rsidP="00E40277">
    <w:pPr>
      <w:pBdr>
        <w:bottom w:val="single" w:sz="4" w:space="1" w:color="auto"/>
      </w:pBdr>
      <w:ind w:right="-648" w:hanging="720"/>
      <w:jc w:val="center"/>
    </w:pPr>
  </w:p>
  <w:p w:rsidR="000B51DE" w:rsidRDefault="000B51D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9030A"/>
    <w:multiLevelType w:val="hybridMultilevel"/>
    <w:tmpl w:val="8842C810"/>
    <w:lvl w:ilvl="0" w:tplc="040E0001">
      <w:start w:val="1"/>
      <w:numFmt w:val="bullet"/>
      <w:lvlText w:val=""/>
      <w:lvlJc w:val="left"/>
      <w:pPr>
        <w:tabs>
          <w:tab w:val="num" w:pos="1428"/>
        </w:tabs>
        <w:ind w:left="1428" w:hanging="360"/>
      </w:pPr>
      <w:rPr>
        <w:rFonts w:ascii="Symbol" w:hAnsi="Symbol" w:hint="default"/>
      </w:rPr>
    </w:lvl>
    <w:lvl w:ilvl="1" w:tplc="040E0003">
      <w:start w:val="1"/>
      <w:numFmt w:val="bullet"/>
      <w:lvlText w:val="o"/>
      <w:lvlJc w:val="left"/>
      <w:pPr>
        <w:tabs>
          <w:tab w:val="num" w:pos="2148"/>
        </w:tabs>
        <w:ind w:left="2148" w:hanging="360"/>
      </w:pPr>
      <w:rPr>
        <w:rFonts w:ascii="Courier New" w:hAnsi="Courier New" w:cs="Courier New" w:hint="default"/>
      </w:rPr>
    </w:lvl>
    <w:lvl w:ilvl="2" w:tplc="040E0005">
      <w:start w:val="1"/>
      <w:numFmt w:val="bullet"/>
      <w:lvlText w:val=""/>
      <w:lvlJc w:val="left"/>
      <w:pPr>
        <w:tabs>
          <w:tab w:val="num" w:pos="2868"/>
        </w:tabs>
        <w:ind w:left="2868" w:hanging="360"/>
      </w:pPr>
      <w:rPr>
        <w:rFonts w:ascii="Wingdings" w:hAnsi="Wingdings" w:cs="Wingdings" w:hint="default"/>
      </w:rPr>
    </w:lvl>
    <w:lvl w:ilvl="3" w:tplc="040E0001">
      <w:start w:val="1"/>
      <w:numFmt w:val="bullet"/>
      <w:lvlText w:val=""/>
      <w:lvlJc w:val="left"/>
      <w:pPr>
        <w:tabs>
          <w:tab w:val="num" w:pos="3588"/>
        </w:tabs>
        <w:ind w:left="3588" w:hanging="360"/>
      </w:pPr>
      <w:rPr>
        <w:rFonts w:ascii="Symbol" w:hAnsi="Symbol" w:cs="Symbol" w:hint="default"/>
      </w:rPr>
    </w:lvl>
    <w:lvl w:ilvl="4" w:tplc="040E0003">
      <w:start w:val="1"/>
      <w:numFmt w:val="bullet"/>
      <w:lvlText w:val="o"/>
      <w:lvlJc w:val="left"/>
      <w:pPr>
        <w:tabs>
          <w:tab w:val="num" w:pos="4308"/>
        </w:tabs>
        <w:ind w:left="4308" w:hanging="360"/>
      </w:pPr>
      <w:rPr>
        <w:rFonts w:ascii="Courier New" w:hAnsi="Courier New" w:cs="Courier New" w:hint="default"/>
      </w:rPr>
    </w:lvl>
    <w:lvl w:ilvl="5" w:tplc="040E0005">
      <w:start w:val="1"/>
      <w:numFmt w:val="bullet"/>
      <w:lvlText w:val=""/>
      <w:lvlJc w:val="left"/>
      <w:pPr>
        <w:tabs>
          <w:tab w:val="num" w:pos="5028"/>
        </w:tabs>
        <w:ind w:left="5028" w:hanging="360"/>
      </w:pPr>
      <w:rPr>
        <w:rFonts w:ascii="Wingdings" w:hAnsi="Wingdings" w:cs="Wingdings" w:hint="default"/>
      </w:rPr>
    </w:lvl>
    <w:lvl w:ilvl="6" w:tplc="040E0001">
      <w:start w:val="1"/>
      <w:numFmt w:val="bullet"/>
      <w:lvlText w:val=""/>
      <w:lvlJc w:val="left"/>
      <w:pPr>
        <w:tabs>
          <w:tab w:val="num" w:pos="5748"/>
        </w:tabs>
        <w:ind w:left="5748" w:hanging="360"/>
      </w:pPr>
      <w:rPr>
        <w:rFonts w:ascii="Symbol" w:hAnsi="Symbol" w:cs="Symbol" w:hint="default"/>
      </w:rPr>
    </w:lvl>
    <w:lvl w:ilvl="7" w:tplc="040E0003">
      <w:start w:val="1"/>
      <w:numFmt w:val="bullet"/>
      <w:lvlText w:val="o"/>
      <w:lvlJc w:val="left"/>
      <w:pPr>
        <w:tabs>
          <w:tab w:val="num" w:pos="6468"/>
        </w:tabs>
        <w:ind w:left="6468" w:hanging="360"/>
      </w:pPr>
      <w:rPr>
        <w:rFonts w:ascii="Courier New" w:hAnsi="Courier New" w:cs="Courier New" w:hint="default"/>
      </w:rPr>
    </w:lvl>
    <w:lvl w:ilvl="8" w:tplc="040E0005">
      <w:start w:val="1"/>
      <w:numFmt w:val="bullet"/>
      <w:lvlText w:val=""/>
      <w:lvlJc w:val="left"/>
      <w:pPr>
        <w:tabs>
          <w:tab w:val="num" w:pos="7188"/>
        </w:tabs>
        <w:ind w:left="7188" w:hanging="360"/>
      </w:pPr>
      <w:rPr>
        <w:rFonts w:ascii="Wingdings" w:hAnsi="Wingdings" w:cs="Wingdings" w:hint="default"/>
      </w:rPr>
    </w:lvl>
  </w:abstractNum>
  <w:abstractNum w:abstractNumId="1">
    <w:nsid w:val="4DDF3348"/>
    <w:multiLevelType w:val="hybridMultilevel"/>
    <w:tmpl w:val="7C02B7FC"/>
    <w:lvl w:ilvl="0" w:tplc="040E0001">
      <w:start w:val="1"/>
      <w:numFmt w:val="bullet"/>
      <w:lvlText w:val=""/>
      <w:lvlJc w:val="left"/>
      <w:pPr>
        <w:tabs>
          <w:tab w:val="num" w:pos="1431"/>
        </w:tabs>
        <w:ind w:left="1431" w:hanging="360"/>
      </w:pPr>
      <w:rPr>
        <w:rFonts w:ascii="Symbol" w:hAnsi="Symbol" w:cs="Symbol" w:hint="default"/>
      </w:rPr>
    </w:lvl>
    <w:lvl w:ilvl="1" w:tplc="040E0003">
      <w:start w:val="1"/>
      <w:numFmt w:val="bullet"/>
      <w:lvlText w:val="o"/>
      <w:lvlJc w:val="left"/>
      <w:pPr>
        <w:tabs>
          <w:tab w:val="num" w:pos="2151"/>
        </w:tabs>
        <w:ind w:left="2151" w:hanging="360"/>
      </w:pPr>
      <w:rPr>
        <w:rFonts w:ascii="Courier New" w:hAnsi="Courier New" w:cs="Courier New" w:hint="default"/>
      </w:rPr>
    </w:lvl>
    <w:lvl w:ilvl="2" w:tplc="040E0005">
      <w:start w:val="1"/>
      <w:numFmt w:val="bullet"/>
      <w:lvlText w:val=""/>
      <w:lvlJc w:val="left"/>
      <w:pPr>
        <w:tabs>
          <w:tab w:val="num" w:pos="2871"/>
        </w:tabs>
        <w:ind w:left="2871" w:hanging="360"/>
      </w:pPr>
      <w:rPr>
        <w:rFonts w:ascii="Wingdings" w:hAnsi="Wingdings" w:cs="Wingdings" w:hint="default"/>
      </w:rPr>
    </w:lvl>
    <w:lvl w:ilvl="3" w:tplc="040E0001">
      <w:start w:val="1"/>
      <w:numFmt w:val="bullet"/>
      <w:lvlText w:val=""/>
      <w:lvlJc w:val="left"/>
      <w:pPr>
        <w:tabs>
          <w:tab w:val="num" w:pos="3591"/>
        </w:tabs>
        <w:ind w:left="3591" w:hanging="360"/>
      </w:pPr>
      <w:rPr>
        <w:rFonts w:ascii="Symbol" w:hAnsi="Symbol" w:cs="Symbol" w:hint="default"/>
      </w:rPr>
    </w:lvl>
    <w:lvl w:ilvl="4" w:tplc="040E0003">
      <w:start w:val="1"/>
      <w:numFmt w:val="bullet"/>
      <w:lvlText w:val="o"/>
      <w:lvlJc w:val="left"/>
      <w:pPr>
        <w:tabs>
          <w:tab w:val="num" w:pos="4311"/>
        </w:tabs>
        <w:ind w:left="4311" w:hanging="360"/>
      </w:pPr>
      <w:rPr>
        <w:rFonts w:ascii="Courier New" w:hAnsi="Courier New" w:cs="Courier New" w:hint="default"/>
      </w:rPr>
    </w:lvl>
    <w:lvl w:ilvl="5" w:tplc="040E0005">
      <w:start w:val="1"/>
      <w:numFmt w:val="bullet"/>
      <w:lvlText w:val=""/>
      <w:lvlJc w:val="left"/>
      <w:pPr>
        <w:tabs>
          <w:tab w:val="num" w:pos="5031"/>
        </w:tabs>
        <w:ind w:left="5031" w:hanging="360"/>
      </w:pPr>
      <w:rPr>
        <w:rFonts w:ascii="Wingdings" w:hAnsi="Wingdings" w:cs="Wingdings" w:hint="default"/>
      </w:rPr>
    </w:lvl>
    <w:lvl w:ilvl="6" w:tplc="040E0001">
      <w:start w:val="1"/>
      <w:numFmt w:val="bullet"/>
      <w:lvlText w:val=""/>
      <w:lvlJc w:val="left"/>
      <w:pPr>
        <w:tabs>
          <w:tab w:val="num" w:pos="5751"/>
        </w:tabs>
        <w:ind w:left="5751" w:hanging="360"/>
      </w:pPr>
      <w:rPr>
        <w:rFonts w:ascii="Symbol" w:hAnsi="Symbol" w:cs="Symbol" w:hint="default"/>
      </w:rPr>
    </w:lvl>
    <w:lvl w:ilvl="7" w:tplc="040E0003">
      <w:start w:val="1"/>
      <w:numFmt w:val="bullet"/>
      <w:lvlText w:val="o"/>
      <w:lvlJc w:val="left"/>
      <w:pPr>
        <w:tabs>
          <w:tab w:val="num" w:pos="6471"/>
        </w:tabs>
        <w:ind w:left="6471" w:hanging="360"/>
      </w:pPr>
      <w:rPr>
        <w:rFonts w:ascii="Courier New" w:hAnsi="Courier New" w:cs="Courier New" w:hint="default"/>
      </w:rPr>
    </w:lvl>
    <w:lvl w:ilvl="8" w:tplc="040E0005">
      <w:start w:val="1"/>
      <w:numFmt w:val="bullet"/>
      <w:lvlText w:val=""/>
      <w:lvlJc w:val="left"/>
      <w:pPr>
        <w:tabs>
          <w:tab w:val="num" w:pos="7191"/>
        </w:tabs>
        <w:ind w:left="7191"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66F"/>
    <w:rsid w:val="00002854"/>
    <w:rsid w:val="000201C9"/>
    <w:rsid w:val="00023259"/>
    <w:rsid w:val="00033D45"/>
    <w:rsid w:val="00074E1A"/>
    <w:rsid w:val="000A3546"/>
    <w:rsid w:val="000B51DE"/>
    <w:rsid w:val="00111CE7"/>
    <w:rsid w:val="001C2331"/>
    <w:rsid w:val="001C75F1"/>
    <w:rsid w:val="001D40C8"/>
    <w:rsid w:val="001E2FDE"/>
    <w:rsid w:val="001E5991"/>
    <w:rsid w:val="001E757F"/>
    <w:rsid w:val="001F200E"/>
    <w:rsid w:val="00227836"/>
    <w:rsid w:val="00281A93"/>
    <w:rsid w:val="002B467C"/>
    <w:rsid w:val="003025A2"/>
    <w:rsid w:val="00321E68"/>
    <w:rsid w:val="00322BB0"/>
    <w:rsid w:val="00323817"/>
    <w:rsid w:val="003327A4"/>
    <w:rsid w:val="003536CD"/>
    <w:rsid w:val="00366C58"/>
    <w:rsid w:val="00386D89"/>
    <w:rsid w:val="00387AAC"/>
    <w:rsid w:val="003B3A93"/>
    <w:rsid w:val="003C2C65"/>
    <w:rsid w:val="003E1DBC"/>
    <w:rsid w:val="00455F47"/>
    <w:rsid w:val="004619D2"/>
    <w:rsid w:val="00470138"/>
    <w:rsid w:val="004F5E02"/>
    <w:rsid w:val="00507CE1"/>
    <w:rsid w:val="0051119E"/>
    <w:rsid w:val="0056574F"/>
    <w:rsid w:val="00570B18"/>
    <w:rsid w:val="00571390"/>
    <w:rsid w:val="00593ECC"/>
    <w:rsid w:val="005A7233"/>
    <w:rsid w:val="005A77E5"/>
    <w:rsid w:val="005C02A5"/>
    <w:rsid w:val="005C40D2"/>
    <w:rsid w:val="005E39C9"/>
    <w:rsid w:val="005F16DF"/>
    <w:rsid w:val="00640530"/>
    <w:rsid w:val="006609BF"/>
    <w:rsid w:val="0066653F"/>
    <w:rsid w:val="00670A12"/>
    <w:rsid w:val="006B7C15"/>
    <w:rsid w:val="006C4414"/>
    <w:rsid w:val="006D741D"/>
    <w:rsid w:val="007220CA"/>
    <w:rsid w:val="00722DEB"/>
    <w:rsid w:val="00724117"/>
    <w:rsid w:val="0073778A"/>
    <w:rsid w:val="007813EF"/>
    <w:rsid w:val="00794378"/>
    <w:rsid w:val="007961D1"/>
    <w:rsid w:val="00797132"/>
    <w:rsid w:val="00797E39"/>
    <w:rsid w:val="007F34D6"/>
    <w:rsid w:val="0083025F"/>
    <w:rsid w:val="00832CE4"/>
    <w:rsid w:val="008369A0"/>
    <w:rsid w:val="0087042F"/>
    <w:rsid w:val="00887412"/>
    <w:rsid w:val="00890D19"/>
    <w:rsid w:val="008A6184"/>
    <w:rsid w:val="008C4CDB"/>
    <w:rsid w:val="009032C8"/>
    <w:rsid w:val="00923BFF"/>
    <w:rsid w:val="00974C08"/>
    <w:rsid w:val="00985DEC"/>
    <w:rsid w:val="00987AF2"/>
    <w:rsid w:val="009B3AAF"/>
    <w:rsid w:val="009B7142"/>
    <w:rsid w:val="009E12F9"/>
    <w:rsid w:val="009F1821"/>
    <w:rsid w:val="009F7714"/>
    <w:rsid w:val="00A46E0B"/>
    <w:rsid w:val="00A67984"/>
    <w:rsid w:val="00A7566F"/>
    <w:rsid w:val="00A86911"/>
    <w:rsid w:val="00AA2F79"/>
    <w:rsid w:val="00AA6F83"/>
    <w:rsid w:val="00B5509B"/>
    <w:rsid w:val="00B83525"/>
    <w:rsid w:val="00BB3226"/>
    <w:rsid w:val="00C42C52"/>
    <w:rsid w:val="00C46942"/>
    <w:rsid w:val="00C81417"/>
    <w:rsid w:val="00C91A36"/>
    <w:rsid w:val="00CD3F94"/>
    <w:rsid w:val="00CE46F7"/>
    <w:rsid w:val="00D50EA6"/>
    <w:rsid w:val="00D56778"/>
    <w:rsid w:val="00D9106E"/>
    <w:rsid w:val="00DC4E91"/>
    <w:rsid w:val="00E22632"/>
    <w:rsid w:val="00E3321E"/>
    <w:rsid w:val="00E40277"/>
    <w:rsid w:val="00E41F23"/>
    <w:rsid w:val="00E8691B"/>
    <w:rsid w:val="00E93153"/>
    <w:rsid w:val="00EA1937"/>
    <w:rsid w:val="00EA232B"/>
    <w:rsid w:val="00EA78F0"/>
    <w:rsid w:val="00EB5D4B"/>
    <w:rsid w:val="00EF4918"/>
    <w:rsid w:val="00F2140F"/>
    <w:rsid w:val="00F61C9B"/>
    <w:rsid w:val="00F70E47"/>
    <w:rsid w:val="00F950A0"/>
    <w:rsid w:val="00FC3313"/>
    <w:rsid w:val="00FD5AB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24117"/>
    <w:rPr>
      <w:sz w:val="24"/>
      <w:szCs w:val="24"/>
    </w:rPr>
  </w:style>
  <w:style w:type="paragraph" w:styleId="Cmsor1">
    <w:name w:val="heading 1"/>
    <w:basedOn w:val="Norml"/>
    <w:link w:val="Cmsor1Char"/>
    <w:uiPriority w:val="9"/>
    <w:qFormat/>
    <w:locked/>
    <w:rsid w:val="00797132"/>
    <w:pPr>
      <w:spacing w:before="100" w:beforeAutospacing="1" w:after="100" w:afterAutospacing="1"/>
      <w:outlineLvl w:val="0"/>
    </w:pPr>
    <w:rPr>
      <w:b/>
      <w:bCs/>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AA2F79"/>
    <w:pPr>
      <w:tabs>
        <w:tab w:val="center" w:pos="4536"/>
        <w:tab w:val="right" w:pos="9072"/>
      </w:tabs>
    </w:pPr>
  </w:style>
  <w:style w:type="character" w:customStyle="1" w:styleId="lfejChar">
    <w:name w:val="Élőfej Char"/>
    <w:basedOn w:val="Bekezdsalapbettpusa"/>
    <w:link w:val="lfej"/>
    <w:uiPriority w:val="99"/>
    <w:semiHidden/>
    <w:locked/>
    <w:rsid w:val="00987AF2"/>
    <w:rPr>
      <w:sz w:val="24"/>
      <w:szCs w:val="24"/>
    </w:rPr>
  </w:style>
  <w:style w:type="paragraph" w:styleId="llb">
    <w:name w:val="footer"/>
    <w:basedOn w:val="Norml"/>
    <w:link w:val="llbChar"/>
    <w:uiPriority w:val="99"/>
    <w:rsid w:val="00AA2F79"/>
    <w:pPr>
      <w:tabs>
        <w:tab w:val="center" w:pos="4536"/>
        <w:tab w:val="right" w:pos="9072"/>
      </w:tabs>
    </w:pPr>
  </w:style>
  <w:style w:type="character" w:customStyle="1" w:styleId="llbChar">
    <w:name w:val="Élőláb Char"/>
    <w:basedOn w:val="Bekezdsalapbettpusa"/>
    <w:link w:val="llb"/>
    <w:uiPriority w:val="99"/>
    <w:semiHidden/>
    <w:locked/>
    <w:rsid w:val="00987AF2"/>
    <w:rPr>
      <w:sz w:val="24"/>
      <w:szCs w:val="24"/>
    </w:rPr>
  </w:style>
  <w:style w:type="character" w:styleId="Hiperhivatkozs">
    <w:name w:val="Hyperlink"/>
    <w:basedOn w:val="Bekezdsalapbettpusa"/>
    <w:uiPriority w:val="99"/>
    <w:rsid w:val="00AA2F79"/>
    <w:rPr>
      <w:color w:val="0000FF"/>
      <w:u w:val="single"/>
    </w:rPr>
  </w:style>
  <w:style w:type="paragraph" w:styleId="Buborkszveg">
    <w:name w:val="Balloon Text"/>
    <w:basedOn w:val="Norml"/>
    <w:link w:val="BuborkszvegChar"/>
    <w:uiPriority w:val="99"/>
    <w:semiHidden/>
    <w:rsid w:val="00EA78F0"/>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5E39C9"/>
    <w:rPr>
      <w:sz w:val="2"/>
      <w:szCs w:val="2"/>
    </w:rPr>
  </w:style>
  <w:style w:type="table" w:styleId="Rcsostblzat">
    <w:name w:val="Table Grid"/>
    <w:basedOn w:val="Normltblzat"/>
    <w:locked/>
    <w:rsid w:val="00E22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uiPriority w:val="9"/>
    <w:rsid w:val="00797132"/>
    <w:rPr>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24117"/>
    <w:rPr>
      <w:sz w:val="24"/>
      <w:szCs w:val="24"/>
    </w:rPr>
  </w:style>
  <w:style w:type="paragraph" w:styleId="Cmsor1">
    <w:name w:val="heading 1"/>
    <w:basedOn w:val="Norml"/>
    <w:link w:val="Cmsor1Char"/>
    <w:uiPriority w:val="9"/>
    <w:qFormat/>
    <w:locked/>
    <w:rsid w:val="00797132"/>
    <w:pPr>
      <w:spacing w:before="100" w:beforeAutospacing="1" w:after="100" w:afterAutospacing="1"/>
      <w:outlineLvl w:val="0"/>
    </w:pPr>
    <w:rPr>
      <w:b/>
      <w:bCs/>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AA2F79"/>
    <w:pPr>
      <w:tabs>
        <w:tab w:val="center" w:pos="4536"/>
        <w:tab w:val="right" w:pos="9072"/>
      </w:tabs>
    </w:pPr>
  </w:style>
  <w:style w:type="character" w:customStyle="1" w:styleId="lfejChar">
    <w:name w:val="Élőfej Char"/>
    <w:basedOn w:val="Bekezdsalapbettpusa"/>
    <w:link w:val="lfej"/>
    <w:uiPriority w:val="99"/>
    <w:semiHidden/>
    <w:locked/>
    <w:rsid w:val="00987AF2"/>
    <w:rPr>
      <w:sz w:val="24"/>
      <w:szCs w:val="24"/>
    </w:rPr>
  </w:style>
  <w:style w:type="paragraph" w:styleId="llb">
    <w:name w:val="footer"/>
    <w:basedOn w:val="Norml"/>
    <w:link w:val="llbChar"/>
    <w:uiPriority w:val="99"/>
    <w:rsid w:val="00AA2F79"/>
    <w:pPr>
      <w:tabs>
        <w:tab w:val="center" w:pos="4536"/>
        <w:tab w:val="right" w:pos="9072"/>
      </w:tabs>
    </w:pPr>
  </w:style>
  <w:style w:type="character" w:customStyle="1" w:styleId="llbChar">
    <w:name w:val="Élőláb Char"/>
    <w:basedOn w:val="Bekezdsalapbettpusa"/>
    <w:link w:val="llb"/>
    <w:uiPriority w:val="99"/>
    <w:semiHidden/>
    <w:locked/>
    <w:rsid w:val="00987AF2"/>
    <w:rPr>
      <w:sz w:val="24"/>
      <w:szCs w:val="24"/>
    </w:rPr>
  </w:style>
  <w:style w:type="character" w:styleId="Hiperhivatkozs">
    <w:name w:val="Hyperlink"/>
    <w:basedOn w:val="Bekezdsalapbettpusa"/>
    <w:uiPriority w:val="99"/>
    <w:rsid w:val="00AA2F79"/>
    <w:rPr>
      <w:color w:val="0000FF"/>
      <w:u w:val="single"/>
    </w:rPr>
  </w:style>
  <w:style w:type="paragraph" w:styleId="Buborkszveg">
    <w:name w:val="Balloon Text"/>
    <w:basedOn w:val="Norml"/>
    <w:link w:val="BuborkszvegChar"/>
    <w:uiPriority w:val="99"/>
    <w:semiHidden/>
    <w:rsid w:val="00EA78F0"/>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5E39C9"/>
    <w:rPr>
      <w:sz w:val="2"/>
      <w:szCs w:val="2"/>
    </w:rPr>
  </w:style>
  <w:style w:type="table" w:styleId="Rcsostblzat">
    <w:name w:val="Table Grid"/>
    <w:basedOn w:val="Normltblzat"/>
    <w:locked/>
    <w:rsid w:val="00E22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uiPriority w:val="9"/>
    <w:rsid w:val="00797132"/>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02513">
      <w:bodyDiv w:val="1"/>
      <w:marLeft w:val="0"/>
      <w:marRight w:val="0"/>
      <w:marTop w:val="0"/>
      <w:marBottom w:val="0"/>
      <w:divBdr>
        <w:top w:val="none" w:sz="0" w:space="0" w:color="auto"/>
        <w:left w:val="none" w:sz="0" w:space="0" w:color="auto"/>
        <w:bottom w:val="none" w:sz="0" w:space="0" w:color="auto"/>
        <w:right w:val="none" w:sz="0" w:space="0" w:color="auto"/>
      </w:divBdr>
      <w:divsChild>
        <w:div w:id="1629121614">
          <w:marLeft w:val="0"/>
          <w:marRight w:val="0"/>
          <w:marTop w:val="0"/>
          <w:marBottom w:val="0"/>
          <w:divBdr>
            <w:top w:val="none" w:sz="0" w:space="0" w:color="auto"/>
            <w:left w:val="none" w:sz="0" w:space="0" w:color="auto"/>
            <w:bottom w:val="none" w:sz="0" w:space="0" w:color="auto"/>
            <w:right w:val="none" w:sz="0" w:space="0" w:color="auto"/>
          </w:divBdr>
          <w:divsChild>
            <w:div w:id="2042972975">
              <w:marLeft w:val="0"/>
              <w:marRight w:val="0"/>
              <w:marTop w:val="0"/>
              <w:marBottom w:val="0"/>
              <w:divBdr>
                <w:top w:val="none" w:sz="0" w:space="0" w:color="auto"/>
                <w:left w:val="none" w:sz="0" w:space="0" w:color="auto"/>
                <w:bottom w:val="none" w:sz="0" w:space="0" w:color="auto"/>
                <w:right w:val="none" w:sz="0" w:space="0" w:color="auto"/>
              </w:divBdr>
              <w:divsChild>
                <w:div w:id="1064336829">
                  <w:marLeft w:val="0"/>
                  <w:marRight w:val="0"/>
                  <w:marTop w:val="0"/>
                  <w:marBottom w:val="0"/>
                  <w:divBdr>
                    <w:top w:val="none" w:sz="0" w:space="0" w:color="auto"/>
                    <w:left w:val="none" w:sz="0" w:space="0" w:color="auto"/>
                    <w:bottom w:val="none" w:sz="0" w:space="0" w:color="auto"/>
                    <w:right w:val="none" w:sz="0" w:space="0" w:color="auto"/>
                  </w:divBdr>
                  <w:divsChild>
                    <w:div w:id="628363840">
                      <w:marLeft w:val="0"/>
                      <w:marRight w:val="0"/>
                      <w:marTop w:val="0"/>
                      <w:marBottom w:val="0"/>
                      <w:divBdr>
                        <w:top w:val="none" w:sz="0" w:space="0" w:color="auto"/>
                        <w:left w:val="none" w:sz="0" w:space="0" w:color="auto"/>
                        <w:bottom w:val="none" w:sz="0" w:space="0" w:color="auto"/>
                        <w:right w:val="none" w:sz="0" w:space="0" w:color="auto"/>
                      </w:divBdr>
                      <w:divsChild>
                        <w:div w:id="1154492927">
                          <w:marLeft w:val="0"/>
                          <w:marRight w:val="0"/>
                          <w:marTop w:val="0"/>
                          <w:marBottom w:val="0"/>
                          <w:divBdr>
                            <w:top w:val="none" w:sz="0" w:space="0" w:color="auto"/>
                            <w:left w:val="none" w:sz="0" w:space="0" w:color="auto"/>
                            <w:bottom w:val="none" w:sz="0" w:space="0" w:color="auto"/>
                            <w:right w:val="none" w:sz="0" w:space="0" w:color="auto"/>
                          </w:divBdr>
                          <w:divsChild>
                            <w:div w:id="107493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gamesz@veresegyhaz.h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613</Words>
  <Characters>4232</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Tisztelt Ingatlantulajdonosok</vt:lpstr>
    </vt:vector>
  </TitlesOfParts>
  <Company>GAMESZ Veresegyház</Company>
  <LinksUpToDate>false</LinksUpToDate>
  <CharactersWithSpaces>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Tisztelt Ingatlantulajdonosok</dc:title>
  <dc:creator>NJA</dc:creator>
  <cp:lastModifiedBy>Jáger Ágnes</cp:lastModifiedBy>
  <cp:revision>2</cp:revision>
  <cp:lastPrinted>2013-02-11T09:33:00Z</cp:lastPrinted>
  <dcterms:created xsi:type="dcterms:W3CDTF">2013-02-11T10:59:00Z</dcterms:created>
  <dcterms:modified xsi:type="dcterms:W3CDTF">2013-02-11T10:59:00Z</dcterms:modified>
</cp:coreProperties>
</file>