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390" w:rsidRPr="009653D9" w:rsidRDefault="00EF4918" w:rsidP="00571390">
      <w:pPr>
        <w:jc w:val="center"/>
        <w:rPr>
          <w:b/>
          <w:sz w:val="32"/>
          <w:szCs w:val="32"/>
        </w:rPr>
      </w:pPr>
      <w:r w:rsidRPr="009653D9">
        <w:rPr>
          <w:b/>
          <w:sz w:val="32"/>
          <w:szCs w:val="32"/>
        </w:rPr>
        <w:t>A 201</w:t>
      </w:r>
      <w:r w:rsidR="0034331A" w:rsidRPr="009653D9">
        <w:rPr>
          <w:b/>
          <w:sz w:val="32"/>
          <w:szCs w:val="32"/>
        </w:rPr>
        <w:t>7</w:t>
      </w:r>
      <w:r w:rsidRPr="009653D9">
        <w:rPr>
          <w:b/>
          <w:sz w:val="32"/>
          <w:szCs w:val="32"/>
        </w:rPr>
        <w:t>. ÉVI KÖLTSÉGVETÉS</w:t>
      </w:r>
    </w:p>
    <w:p w:rsidR="00EF4918" w:rsidRPr="009653D9" w:rsidRDefault="00EF4918" w:rsidP="00571390">
      <w:pPr>
        <w:jc w:val="center"/>
        <w:rPr>
          <w:b/>
          <w:sz w:val="32"/>
          <w:szCs w:val="32"/>
        </w:rPr>
      </w:pPr>
      <w:r w:rsidRPr="009653D9">
        <w:rPr>
          <w:b/>
          <w:sz w:val="32"/>
          <w:szCs w:val="32"/>
        </w:rPr>
        <w:t xml:space="preserve">SZÁMADATAINAK SZÖVEGES </w:t>
      </w:r>
      <w:r w:rsidR="00571390" w:rsidRPr="009653D9">
        <w:rPr>
          <w:b/>
          <w:sz w:val="32"/>
          <w:szCs w:val="32"/>
        </w:rPr>
        <w:t>MAGYARÁZATA</w:t>
      </w:r>
    </w:p>
    <w:p w:rsidR="00EF4918" w:rsidRPr="009653D9" w:rsidRDefault="00EF4918" w:rsidP="001D40C8">
      <w:pPr>
        <w:jc w:val="both"/>
      </w:pPr>
    </w:p>
    <w:p w:rsidR="00F60992" w:rsidRPr="009653D9" w:rsidRDefault="00EF4918" w:rsidP="001D40C8">
      <w:pPr>
        <w:jc w:val="both"/>
      </w:pPr>
      <w:r w:rsidRPr="009653D9">
        <w:t>201</w:t>
      </w:r>
      <w:r w:rsidR="0034331A" w:rsidRPr="009653D9">
        <w:t>7</w:t>
      </w:r>
      <w:r w:rsidRPr="009653D9">
        <w:t xml:space="preserve">. </w:t>
      </w:r>
      <w:r w:rsidR="008C71E4" w:rsidRPr="009653D9">
        <w:t>ismét</w:t>
      </w:r>
      <w:r w:rsidRPr="009653D9">
        <w:t xml:space="preserve"> változást hoz a GAMESZ és azon önállóan működő költségvetési szervek életében, melyeknek gazdálkodási feladatait a GAMESZ látta, látja el. </w:t>
      </w:r>
      <w:r w:rsidR="00F60992" w:rsidRPr="009653D9">
        <w:t>201</w:t>
      </w:r>
      <w:r w:rsidR="0034331A" w:rsidRPr="009653D9">
        <w:t>7</w:t>
      </w:r>
      <w:r w:rsidR="00BF7BE8" w:rsidRPr="009653D9">
        <w:t>-</w:t>
      </w:r>
      <w:r w:rsidR="0034331A" w:rsidRPr="009653D9">
        <w:t>től az iskolák üzemeltetési feladatainak ellátása és a feladatok ellátásában résztvevő személyek átkerültek a Tankerületekhez. Az iskola épületében végzett feladatok közül csak az étkeztetés maradt továbbra is</w:t>
      </w:r>
      <w:r w:rsidR="000576F7" w:rsidRPr="009653D9">
        <w:t xml:space="preserve"> a GAMESZ üzemeltetésében. Szintén jelentős változás, hogy a Medveotthon feladatait szintén január 1-től ismét a GAMESZ látja el.</w:t>
      </w:r>
    </w:p>
    <w:p w:rsidR="00F60992" w:rsidRPr="009653D9" w:rsidRDefault="00F60992" w:rsidP="001D40C8">
      <w:pPr>
        <w:jc w:val="both"/>
      </w:pPr>
      <w:r w:rsidRPr="009653D9">
        <w:t>A</w:t>
      </w:r>
      <w:r w:rsidR="00BF7BE8" w:rsidRPr="009653D9">
        <w:t xml:space="preserve"> jogszabályi előírásoknak megfelelően</w:t>
      </w:r>
      <w:r w:rsidR="000E122A" w:rsidRPr="009653D9">
        <w:t xml:space="preserve"> az</w:t>
      </w:r>
      <w:r w:rsidR="00BF7BE8" w:rsidRPr="009653D9">
        <w:t xml:space="preserve"> </w:t>
      </w:r>
      <w:r w:rsidRPr="009653D9">
        <w:t xml:space="preserve">előirányzatokat </w:t>
      </w:r>
      <w:r w:rsidR="00BF7BE8" w:rsidRPr="009653D9">
        <w:t>201</w:t>
      </w:r>
      <w:r w:rsidR="0034331A" w:rsidRPr="009653D9">
        <w:t>7</w:t>
      </w:r>
      <w:r w:rsidR="00BF7BE8" w:rsidRPr="009653D9">
        <w:t>-b</w:t>
      </w:r>
      <w:r w:rsidR="000576F7" w:rsidRPr="009653D9">
        <w:t>e</w:t>
      </w:r>
      <w:r w:rsidR="00BF7BE8" w:rsidRPr="009653D9">
        <w:t>n</w:t>
      </w:r>
      <w:r w:rsidRPr="009653D9">
        <w:t xml:space="preserve"> is pénzforgalom szerint tervezzük</w:t>
      </w:r>
      <w:r w:rsidR="00601FF3" w:rsidRPr="009653D9">
        <w:t>,</w:t>
      </w:r>
      <w:r w:rsidR="000E122A" w:rsidRPr="009653D9">
        <w:t xml:space="preserve"> </w:t>
      </w:r>
      <w:r w:rsidR="00870054" w:rsidRPr="009653D9">
        <w:t>kormányzati funkciók szerint</w:t>
      </w:r>
      <w:r w:rsidR="000576F7" w:rsidRPr="009653D9">
        <w:t>,</w:t>
      </w:r>
      <w:r w:rsidR="00870054" w:rsidRPr="009653D9">
        <w:t xml:space="preserve"> </w:t>
      </w:r>
      <w:r w:rsidR="000576F7" w:rsidRPr="009653D9">
        <w:t>az egyes tevékenységek</w:t>
      </w:r>
      <w:r w:rsidR="008C71E4" w:rsidRPr="009653D9">
        <w:t xml:space="preserve"> besorolás</w:t>
      </w:r>
      <w:r w:rsidR="000576F7" w:rsidRPr="009653D9">
        <w:t>á</w:t>
      </w:r>
      <w:r w:rsidR="008C71E4" w:rsidRPr="009653D9">
        <w:t>nál fontos</w:t>
      </w:r>
      <w:r w:rsidR="00CD6D4A" w:rsidRPr="009653D9">
        <w:t xml:space="preserve"> a támogatási források céljának megfelelő tagolás</w:t>
      </w:r>
      <w:r w:rsidR="00870054" w:rsidRPr="009653D9">
        <w:t>.</w:t>
      </w:r>
      <w:r w:rsidR="00040A46" w:rsidRPr="009653D9">
        <w:t xml:space="preserve"> A tevékenységek helyes besorolás</w:t>
      </w:r>
      <w:r w:rsidR="000E122A" w:rsidRPr="009653D9">
        <w:t>a</w:t>
      </w:r>
      <w:r w:rsidR="00040A46" w:rsidRPr="009653D9">
        <w:t>, elkülönítése már csak azért is különös jelentőséggel bír, mert ez által teremthető meg a gazdálkodás átláthatósága, a transzparens intézményi működés, működtetés.</w:t>
      </w:r>
    </w:p>
    <w:p w:rsidR="00322BB0" w:rsidRPr="009653D9" w:rsidRDefault="00322BB0" w:rsidP="001D40C8">
      <w:pPr>
        <w:jc w:val="both"/>
      </w:pPr>
    </w:p>
    <w:p w:rsidR="00322BB0" w:rsidRPr="009653D9" w:rsidRDefault="00322BB0" w:rsidP="001D40C8">
      <w:pPr>
        <w:jc w:val="both"/>
        <w:rPr>
          <w:b/>
        </w:rPr>
      </w:pPr>
      <w:r w:rsidRPr="009653D9">
        <w:rPr>
          <w:b/>
        </w:rPr>
        <w:t>KIADÁSOK</w:t>
      </w:r>
    </w:p>
    <w:p w:rsidR="00571390" w:rsidRPr="009653D9" w:rsidRDefault="00571390" w:rsidP="001D40C8">
      <w:pPr>
        <w:jc w:val="both"/>
      </w:pPr>
    </w:p>
    <w:p w:rsidR="00571390" w:rsidRPr="009653D9" w:rsidRDefault="00322BB0" w:rsidP="005C02A5">
      <w:pPr>
        <w:ind w:left="284"/>
        <w:jc w:val="both"/>
        <w:rPr>
          <w:b/>
          <w:i/>
        </w:rPr>
      </w:pPr>
      <w:r w:rsidRPr="009653D9">
        <w:rPr>
          <w:b/>
          <w:i/>
        </w:rPr>
        <w:t>Személyi juttatások</w:t>
      </w:r>
    </w:p>
    <w:p w:rsidR="00033D45" w:rsidRPr="009653D9" w:rsidRDefault="00985DEC" w:rsidP="001D40C8">
      <w:pPr>
        <w:jc w:val="both"/>
      </w:pPr>
      <w:r w:rsidRPr="009653D9">
        <w:t xml:space="preserve">A személyi juttatások megtervezése során figyelembe vételre került a minimálbér bruttó </w:t>
      </w:r>
      <w:r w:rsidR="008C71E4" w:rsidRPr="009653D9">
        <w:t>1</w:t>
      </w:r>
      <w:r w:rsidR="000576F7" w:rsidRPr="009653D9">
        <w:t>11</w:t>
      </w:r>
      <w:r w:rsidR="008C71E4" w:rsidRPr="009653D9">
        <w:t>.000</w:t>
      </w:r>
      <w:r w:rsidRPr="009653D9">
        <w:t>,- Ft-ról</w:t>
      </w:r>
      <w:r w:rsidR="000D4D44" w:rsidRPr="009653D9">
        <w:t xml:space="preserve"> 1</w:t>
      </w:r>
      <w:r w:rsidR="000576F7" w:rsidRPr="009653D9">
        <w:t>27</w:t>
      </w:r>
      <w:r w:rsidRPr="009653D9">
        <w:t>.</w:t>
      </w:r>
      <w:r w:rsidR="000576F7" w:rsidRPr="009653D9">
        <w:t>5</w:t>
      </w:r>
      <w:r w:rsidRPr="009653D9">
        <w:t xml:space="preserve">00,- Ft-ra, a garantált bérminimum </w:t>
      </w:r>
      <w:r w:rsidR="008C71E4" w:rsidRPr="009653D9">
        <w:t>12</w:t>
      </w:r>
      <w:r w:rsidR="000576F7" w:rsidRPr="009653D9">
        <w:t>9</w:t>
      </w:r>
      <w:r w:rsidR="008C71E4" w:rsidRPr="009653D9">
        <w:t>.000</w:t>
      </w:r>
      <w:r w:rsidRPr="009653D9">
        <w:t>,- Ft-ról 1</w:t>
      </w:r>
      <w:r w:rsidR="000576F7" w:rsidRPr="009653D9">
        <w:t>61</w:t>
      </w:r>
      <w:r w:rsidRPr="009653D9">
        <w:t xml:space="preserve">.000,- Ft-ra történő emelése, a közalkalmazotti bértáblában kötelezően meghatározott soros előrelépések, </w:t>
      </w:r>
      <w:r w:rsidR="000576F7" w:rsidRPr="009653D9">
        <w:t xml:space="preserve">az egyes ágazati szabályozásban szereplő kötelező pótlékok, </w:t>
      </w:r>
      <w:r w:rsidRPr="009653D9">
        <w:t>illetve az esedékes jubileumi jutalmak összege is.</w:t>
      </w:r>
    </w:p>
    <w:p w:rsidR="00985DEC" w:rsidRPr="009653D9" w:rsidRDefault="00985DEC" w:rsidP="001D40C8">
      <w:pPr>
        <w:jc w:val="both"/>
      </w:pPr>
      <w:r w:rsidRPr="009653D9">
        <w:t xml:space="preserve">A GAMESZ személyi juttatás előirányzatának keretében – az előző évhez hasonlóan – tervezésre került </w:t>
      </w:r>
      <w:r w:rsidR="000576F7" w:rsidRPr="009653D9">
        <w:t>45</w:t>
      </w:r>
      <w:r w:rsidRPr="009653D9">
        <w:t xml:space="preserve"> fő, akiket a munka törvénykönyve alapján foglalkoztat </w:t>
      </w:r>
      <w:r w:rsidR="003327A4" w:rsidRPr="009653D9">
        <w:t xml:space="preserve">a szervezet </w:t>
      </w:r>
      <w:r w:rsidRPr="009653D9">
        <w:t>azok közül, akik a korábbi közcélú foglalkoztatás</w:t>
      </w:r>
      <w:r w:rsidR="00CC5261" w:rsidRPr="009653D9">
        <w:t>, illetve megbízásos jogviszony</w:t>
      </w:r>
      <w:r w:rsidRPr="009653D9">
        <w:t xml:space="preserve"> </w:t>
      </w:r>
      <w:r w:rsidR="00CC5261" w:rsidRPr="009653D9">
        <w:t>során</w:t>
      </w:r>
      <w:r w:rsidRPr="009653D9">
        <w:t xml:space="preserve"> megbízható munkaerőnek bizonyultak. </w:t>
      </w:r>
    </w:p>
    <w:p w:rsidR="00CC5261" w:rsidRPr="009653D9" w:rsidRDefault="00CC5261" w:rsidP="001D40C8">
      <w:pPr>
        <w:jc w:val="both"/>
      </w:pPr>
      <w:r w:rsidRPr="009653D9">
        <w:t xml:space="preserve">A személyi juttatások sor kiadási előirányzata tartalmazza annak a </w:t>
      </w:r>
      <w:r w:rsidR="000576F7" w:rsidRPr="009653D9">
        <w:t>30</w:t>
      </w:r>
      <w:r w:rsidRPr="009653D9">
        <w:t xml:space="preserve"> főnek a bérét is, aki a </w:t>
      </w:r>
      <w:r w:rsidR="00CD6D4A" w:rsidRPr="009653D9">
        <w:t>„</w:t>
      </w:r>
      <w:r w:rsidRPr="009653D9">
        <w:t xml:space="preserve">közfoglalkoztatás” keretében </w:t>
      </w:r>
      <w:r w:rsidR="00B14C66" w:rsidRPr="009653D9">
        <w:t>került felvételre.</w:t>
      </w:r>
    </w:p>
    <w:p w:rsidR="00B14C66" w:rsidRPr="009653D9" w:rsidRDefault="00B14C66" w:rsidP="001D40C8">
      <w:pPr>
        <w:jc w:val="both"/>
      </w:pPr>
      <w:r w:rsidRPr="009653D9">
        <w:t xml:space="preserve">A </w:t>
      </w:r>
      <w:r w:rsidR="003F4A14" w:rsidRPr="009653D9">
        <w:t xml:space="preserve">GAMESZ-nél a </w:t>
      </w:r>
      <w:r w:rsidRPr="009653D9">
        <w:t xml:space="preserve">közalkalmazottak, munka törvénykönyve alapján foglalkoztatottak és közcélú foglalkoztatottak mellett </w:t>
      </w:r>
      <w:r w:rsidR="006608A3" w:rsidRPr="009653D9">
        <w:t xml:space="preserve">átlagosan </w:t>
      </w:r>
      <w:r w:rsidR="00CD6D4A" w:rsidRPr="009653D9">
        <w:t>20</w:t>
      </w:r>
      <w:r w:rsidRPr="009653D9">
        <w:t xml:space="preserve"> és </w:t>
      </w:r>
      <w:r w:rsidR="00CD6D4A" w:rsidRPr="009653D9">
        <w:t>35</w:t>
      </w:r>
      <w:r w:rsidRPr="009653D9">
        <w:t xml:space="preserve"> fő közötti azok száma, akik megbízási jogviszony keretében látják el fe</w:t>
      </w:r>
      <w:r w:rsidR="006608A3" w:rsidRPr="009653D9">
        <w:t>ladataikat a város zavartalan üzemeltetése érdekében, részt vesznek a csapadékvizek elvezetésében, a tűzifa kitermelésben</w:t>
      </w:r>
      <w:r w:rsidR="00EF3B5A" w:rsidRPr="009653D9">
        <w:t>, aprításban</w:t>
      </w:r>
      <w:r w:rsidR="006608A3" w:rsidRPr="009653D9">
        <w:t xml:space="preserve">, közterületek takarításában, őrzésében, a kaszálásban, fűnyírásban, </w:t>
      </w:r>
      <w:r w:rsidR="00EF3B5A" w:rsidRPr="009653D9">
        <w:t>és még számos egyéb város- és/vagy intézményüzemeltetési feladatban. Az ő megbízási díjaiknak tervezése is a személyi juttatások között szerepel.</w:t>
      </w:r>
    </w:p>
    <w:p w:rsidR="00E073A8" w:rsidRPr="009653D9" w:rsidRDefault="00222419" w:rsidP="00E073A8">
      <w:pPr>
        <w:jc w:val="both"/>
      </w:pPr>
      <w:r w:rsidRPr="009653D9">
        <w:t>A Könyvtár idén már az engedélyezett 5 fős létszámkerettel dolgozik, s a jelenleg még – a GYES mellett – 4 órában munkát vállaló munkatárs</w:t>
      </w:r>
      <w:r w:rsidR="009653D9">
        <w:t>a</w:t>
      </w:r>
      <w:r w:rsidRPr="009653D9">
        <w:t xml:space="preserve"> augusztustól már teljes munkaidős munkavállaló lesz.</w:t>
      </w:r>
    </w:p>
    <w:p w:rsidR="003F4A14" w:rsidRPr="009653D9" w:rsidRDefault="003F4A14" w:rsidP="001D40C8">
      <w:pPr>
        <w:jc w:val="both"/>
      </w:pPr>
      <w:r w:rsidRPr="009653D9">
        <w:t xml:space="preserve">Fontos még kiemelnünk, hogy az óvoda dolgozóinak nagy részét érinti a pedagógus életpályamodell bevezetésével megvalósuló, </w:t>
      </w:r>
      <w:r w:rsidR="00222419" w:rsidRPr="009653D9">
        <w:t xml:space="preserve">illetve az újonnan bevezetett ágazati szabályozásnak megfelelő béremelés, </w:t>
      </w:r>
      <w:r w:rsidRPr="009653D9">
        <w:t>mely az intézmény személyi juttatási előirányzatának növekedését idéz</w:t>
      </w:r>
      <w:r w:rsidR="000E122A" w:rsidRPr="009653D9">
        <w:t>i</w:t>
      </w:r>
      <w:r w:rsidRPr="009653D9">
        <w:t xml:space="preserve"> elő.</w:t>
      </w:r>
    </w:p>
    <w:p w:rsidR="00E073A8" w:rsidRPr="009653D9" w:rsidRDefault="00E073A8" w:rsidP="001D40C8">
      <w:pPr>
        <w:jc w:val="both"/>
      </w:pPr>
      <w:r w:rsidRPr="009653D9">
        <w:t>A bölcsődei dolgozók bérterve tartalmazza a jogszabályban meghatározott ágazati pótlékot, illetve a felsőfokú szakdolgozók pedagógus besorolási bérének növekményét is.</w:t>
      </w:r>
    </w:p>
    <w:p w:rsidR="00985DEC" w:rsidRPr="009653D9" w:rsidRDefault="003327A4" w:rsidP="001D40C8">
      <w:pPr>
        <w:jc w:val="both"/>
      </w:pPr>
      <w:r w:rsidRPr="009653D9">
        <w:lastRenderedPageBreak/>
        <w:t xml:space="preserve">A tervezett étkezési hozzájárulás mértéke </w:t>
      </w:r>
      <w:r w:rsidR="00CC5261" w:rsidRPr="009653D9">
        <w:t>8</w:t>
      </w:r>
      <w:r w:rsidRPr="009653D9">
        <w:t xml:space="preserve">.000,- Ft/fő/hó </w:t>
      </w:r>
      <w:r w:rsidR="000F00C9" w:rsidRPr="009653D9">
        <w:t>készpénz</w:t>
      </w:r>
      <w:r w:rsidRPr="009653D9">
        <w:t xml:space="preserve"> </w:t>
      </w:r>
      <w:r w:rsidR="00CC5261" w:rsidRPr="009653D9">
        <w:t xml:space="preserve">vagy SZÉP kártya </w:t>
      </w:r>
      <w:r w:rsidRPr="009653D9">
        <w:t xml:space="preserve">formájában, míg a </w:t>
      </w:r>
      <w:r w:rsidR="002B467C" w:rsidRPr="009653D9">
        <w:t xml:space="preserve">konyhával rendelkező intézményekben </w:t>
      </w:r>
      <w:r w:rsidR="000F00C9" w:rsidRPr="009653D9">
        <w:t>járulékokkal növelt értékben 200.000</w:t>
      </w:r>
      <w:r w:rsidR="002B467C" w:rsidRPr="009653D9">
        <w:t>,- Ft/fő/</w:t>
      </w:r>
      <w:r w:rsidR="000F00C9" w:rsidRPr="009653D9">
        <w:t>év</w:t>
      </w:r>
      <w:r w:rsidR="002B467C" w:rsidRPr="009653D9">
        <w:t xml:space="preserve"> meleg étkezés formájában.</w:t>
      </w:r>
    </w:p>
    <w:p w:rsidR="006B7C15" w:rsidRPr="009653D9" w:rsidRDefault="006B7C15" w:rsidP="001D40C8">
      <w:pPr>
        <w:jc w:val="both"/>
      </w:pPr>
    </w:p>
    <w:p w:rsidR="00322BB0" w:rsidRPr="009653D9" w:rsidRDefault="00322BB0" w:rsidP="00FF0B5F">
      <w:pPr>
        <w:keepNext/>
        <w:ind w:left="284"/>
        <w:jc w:val="both"/>
        <w:rPr>
          <w:b/>
          <w:i/>
        </w:rPr>
      </w:pPr>
      <w:r w:rsidRPr="009653D9">
        <w:rPr>
          <w:b/>
          <w:i/>
        </w:rPr>
        <w:t>Munkaadókat terhelő járulékok és szociális hozzájárulási adó</w:t>
      </w:r>
    </w:p>
    <w:p w:rsidR="00033D45" w:rsidRPr="009653D9" w:rsidRDefault="008C71E4" w:rsidP="001D40C8">
      <w:pPr>
        <w:jc w:val="both"/>
      </w:pPr>
      <w:r w:rsidRPr="009653D9">
        <w:t>A</w:t>
      </w:r>
      <w:r w:rsidR="003327A4" w:rsidRPr="009653D9">
        <w:t xml:space="preserve"> szociális hozzájárulási adó</w:t>
      </w:r>
      <w:r w:rsidR="002B467C" w:rsidRPr="009653D9">
        <w:t xml:space="preserve"> (</w:t>
      </w:r>
      <w:r w:rsidR="00EF3B5A" w:rsidRPr="009653D9">
        <w:t xml:space="preserve">melynek mértéke </w:t>
      </w:r>
      <w:r w:rsidR="00357459" w:rsidRPr="009653D9">
        <w:t xml:space="preserve">27%-ról </w:t>
      </w:r>
      <w:r w:rsidR="000F00C9" w:rsidRPr="009653D9">
        <w:t>22</w:t>
      </w:r>
      <w:r w:rsidR="002B467C" w:rsidRPr="009653D9">
        <w:t>%</w:t>
      </w:r>
      <w:r w:rsidR="00357459" w:rsidRPr="009653D9">
        <w:t>-ra változott</w:t>
      </w:r>
      <w:r w:rsidR="002B467C" w:rsidRPr="009653D9">
        <w:t>)</w:t>
      </w:r>
      <w:r w:rsidR="003327A4" w:rsidRPr="009653D9">
        <w:t xml:space="preserve"> </w:t>
      </w:r>
      <w:r w:rsidR="00EF3B5A" w:rsidRPr="009653D9">
        <w:t xml:space="preserve">mellett a munkáltató által fizetett </w:t>
      </w:r>
      <w:r w:rsidRPr="009653D9">
        <w:t>EHO</w:t>
      </w:r>
      <w:r w:rsidR="00E073A8" w:rsidRPr="009653D9">
        <w:t>-t</w:t>
      </w:r>
      <w:r w:rsidRPr="009653D9">
        <w:t xml:space="preserve"> és </w:t>
      </w:r>
      <w:r w:rsidR="00EF3B5A" w:rsidRPr="009653D9">
        <w:t>személyi jövedelemadó</w:t>
      </w:r>
      <w:r w:rsidR="00E073A8" w:rsidRPr="009653D9">
        <w:t>t</w:t>
      </w:r>
      <w:r w:rsidR="00357459" w:rsidRPr="009653D9">
        <w:t>,</w:t>
      </w:r>
      <w:r w:rsidRPr="009653D9">
        <w:t xml:space="preserve"> </w:t>
      </w:r>
      <w:r w:rsidR="00357459" w:rsidRPr="009653D9">
        <w:t xml:space="preserve">illetve a rehabilitációs hozzájárulást </w:t>
      </w:r>
      <w:r w:rsidRPr="009653D9">
        <w:t xml:space="preserve">a jogszabályi előírások figyelembe vételével </w:t>
      </w:r>
      <w:r w:rsidR="00E073A8" w:rsidRPr="009653D9">
        <w:t>terveztük</w:t>
      </w:r>
      <w:r w:rsidR="00357459" w:rsidRPr="009653D9">
        <w:t>.</w:t>
      </w:r>
      <w:r w:rsidR="00EF3B5A" w:rsidRPr="009653D9">
        <w:t xml:space="preserve"> </w:t>
      </w:r>
      <w:r w:rsidR="002B467C" w:rsidRPr="009653D9">
        <w:t xml:space="preserve">A kiadások </w:t>
      </w:r>
      <w:r w:rsidR="00357459" w:rsidRPr="009653D9">
        <w:t>csökkenése a járulék és létszám csökkenéssel</w:t>
      </w:r>
      <w:r w:rsidR="002B467C" w:rsidRPr="009653D9">
        <w:t xml:space="preserve"> van összhangban.</w:t>
      </w:r>
    </w:p>
    <w:p w:rsidR="006B7C15" w:rsidRPr="009653D9" w:rsidRDefault="006B7C15" w:rsidP="001D40C8">
      <w:pPr>
        <w:jc w:val="both"/>
      </w:pPr>
    </w:p>
    <w:p w:rsidR="00322BB0" w:rsidRPr="009653D9" w:rsidRDefault="00322BB0" w:rsidP="005C02A5">
      <w:pPr>
        <w:ind w:left="284"/>
        <w:jc w:val="both"/>
        <w:rPr>
          <w:b/>
          <w:i/>
        </w:rPr>
      </w:pPr>
      <w:r w:rsidRPr="009653D9">
        <w:rPr>
          <w:b/>
          <w:i/>
        </w:rPr>
        <w:t>Dologi kiadások</w:t>
      </w:r>
    </w:p>
    <w:p w:rsidR="00033D45" w:rsidRPr="009653D9" w:rsidRDefault="003327A4" w:rsidP="001D40C8">
      <w:pPr>
        <w:jc w:val="both"/>
      </w:pPr>
      <w:r w:rsidRPr="009653D9">
        <w:t xml:space="preserve">A dologi kiadások tervezése során </w:t>
      </w:r>
      <w:r w:rsidR="00276577" w:rsidRPr="009653D9">
        <w:t>számoltunk</w:t>
      </w:r>
      <w:r w:rsidRPr="009653D9">
        <w:t xml:space="preserve"> a 201</w:t>
      </w:r>
      <w:r w:rsidR="00357459" w:rsidRPr="009653D9">
        <w:t>6</w:t>
      </w:r>
      <w:r w:rsidRPr="009653D9">
        <w:t>. évi kifizetetlen szállítóállomán</w:t>
      </w:r>
      <w:r w:rsidR="00276577" w:rsidRPr="009653D9">
        <w:t>nyal</w:t>
      </w:r>
      <w:r w:rsidRPr="009653D9">
        <w:t>.</w:t>
      </w:r>
      <w:r w:rsidR="00CD6D4A" w:rsidRPr="009653D9">
        <w:t xml:space="preserve"> </w:t>
      </w:r>
      <w:r w:rsidR="00E073A8" w:rsidRPr="009653D9">
        <w:t xml:space="preserve">A dologi kiadások tervezése során figyelembe vettük </w:t>
      </w:r>
      <w:r w:rsidR="00357459" w:rsidRPr="009653D9">
        <w:t xml:space="preserve">a feladatváltozások hatásait </w:t>
      </w:r>
      <w:r w:rsidR="00E073A8" w:rsidRPr="009653D9">
        <w:t>(</w:t>
      </w:r>
      <w:r w:rsidR="00357459" w:rsidRPr="009653D9">
        <w:t>iskolaépületek Tankerületi üzemeltetésébe kerülését</w:t>
      </w:r>
      <w:r w:rsidR="00E073A8" w:rsidRPr="009653D9">
        <w:t>, 26. termálkút beüzemelés</w:t>
      </w:r>
      <w:r w:rsidR="00357459" w:rsidRPr="009653D9">
        <w:t>ét</w:t>
      </w:r>
      <w:r w:rsidR="00E073A8" w:rsidRPr="009653D9">
        <w:t>). A 201</w:t>
      </w:r>
      <w:r w:rsidR="00357459" w:rsidRPr="009653D9">
        <w:t>7</w:t>
      </w:r>
      <w:r w:rsidR="00E073A8" w:rsidRPr="009653D9">
        <w:t xml:space="preserve">. év kiemelt területe </w:t>
      </w:r>
      <w:r w:rsidR="00357459" w:rsidRPr="009653D9">
        <w:t>továbbra is</w:t>
      </w:r>
      <w:r w:rsidR="00E073A8" w:rsidRPr="009653D9">
        <w:t xml:space="preserve"> zöldterület</w:t>
      </w:r>
      <w:r w:rsidR="00276577" w:rsidRPr="009653D9">
        <w:t>-</w:t>
      </w:r>
      <w:r w:rsidR="00E073A8" w:rsidRPr="009653D9">
        <w:t>kezelés, ezért a korábbi évekhez képest tovább növeljük a növények beszerzésére, ápolására szánt összeget.</w:t>
      </w:r>
    </w:p>
    <w:p w:rsidR="00E8691B" w:rsidRPr="009653D9" w:rsidRDefault="00E8691B" w:rsidP="001D40C8">
      <w:pPr>
        <w:jc w:val="both"/>
      </w:pPr>
    </w:p>
    <w:p w:rsidR="00322BB0" w:rsidRPr="009653D9" w:rsidRDefault="00322BB0" w:rsidP="001D40C8">
      <w:pPr>
        <w:jc w:val="both"/>
        <w:rPr>
          <w:b/>
        </w:rPr>
      </w:pPr>
      <w:r w:rsidRPr="009653D9">
        <w:rPr>
          <w:b/>
        </w:rPr>
        <w:t>BEVÉTELEK</w:t>
      </w:r>
    </w:p>
    <w:p w:rsidR="00322BB0" w:rsidRPr="009653D9" w:rsidRDefault="00322BB0" w:rsidP="001D40C8">
      <w:pPr>
        <w:jc w:val="both"/>
      </w:pPr>
    </w:p>
    <w:p w:rsidR="00322BB0" w:rsidRPr="009653D9" w:rsidRDefault="00322BB0" w:rsidP="005C02A5">
      <w:pPr>
        <w:ind w:left="284"/>
        <w:jc w:val="both"/>
        <w:rPr>
          <w:b/>
          <w:i/>
        </w:rPr>
      </w:pPr>
      <w:r w:rsidRPr="009653D9">
        <w:rPr>
          <w:b/>
          <w:i/>
        </w:rPr>
        <w:t>Intézményi működési bevételek</w:t>
      </w:r>
    </w:p>
    <w:p w:rsidR="005C02A5" w:rsidRPr="009653D9" w:rsidRDefault="00033D45" w:rsidP="001D40C8">
      <w:pPr>
        <w:jc w:val="both"/>
      </w:pPr>
      <w:r w:rsidRPr="009653D9">
        <w:t xml:space="preserve">A működési bevételek között tervezte meg valamennyi intézmény a működéséhez kapcsolódó bevételeit, melyek közül a teljesség igénye nélkül kiemelhetőek a különböző térítési (pl. étkezési), </w:t>
      </w:r>
      <w:r w:rsidR="00887412" w:rsidRPr="009653D9">
        <w:t xml:space="preserve">bérleti díjak (pl. terem, eszköz, stb.) </w:t>
      </w:r>
      <w:r w:rsidRPr="009653D9">
        <w:t>illetve belépő díjak (medveotthon, fürdő, strand, kulturális rendezvények</w:t>
      </w:r>
      <w:r w:rsidR="00887412" w:rsidRPr="009653D9">
        <w:t>, stb.)</w:t>
      </w:r>
      <w:r w:rsidRPr="009653D9">
        <w:t xml:space="preserve">, </w:t>
      </w:r>
      <w:r w:rsidR="00887412" w:rsidRPr="009653D9">
        <w:t>a nyújtott szolgáltatások ellenértékének bevételei (pl. termálfűtés). A bevételek tervezése során figyelembe vételre került a kapacitásváltozásokhoz igazított várható teljesítés és a hátralékok beszedéséből származó bevételrész is.</w:t>
      </w:r>
    </w:p>
    <w:p w:rsidR="005C02A5" w:rsidRPr="009653D9" w:rsidRDefault="00E8691B" w:rsidP="001D40C8">
      <w:pPr>
        <w:jc w:val="both"/>
      </w:pPr>
      <w:r w:rsidRPr="009653D9">
        <w:t xml:space="preserve">A tervezett </w:t>
      </w:r>
      <w:r w:rsidR="007B5B74" w:rsidRPr="009653D9">
        <w:t xml:space="preserve">bruttó </w:t>
      </w:r>
      <w:r w:rsidRPr="009653D9">
        <w:t>bevételek közül a jelentősebbek a következők: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4"/>
        <w:gridCol w:w="1718"/>
      </w:tblGrid>
      <w:tr w:rsidR="009653D9" w:rsidRPr="009653D9" w:rsidTr="00357459">
        <w:tc>
          <w:tcPr>
            <w:tcW w:w="7344" w:type="dxa"/>
          </w:tcPr>
          <w:p w:rsidR="00E22632" w:rsidRPr="009653D9" w:rsidRDefault="00E22632" w:rsidP="00BC1E8B">
            <w:pPr>
              <w:jc w:val="both"/>
            </w:pPr>
            <w:r w:rsidRPr="009653D9">
              <w:rPr>
                <w:i/>
              </w:rPr>
              <w:t xml:space="preserve">Termálfűtés </w:t>
            </w:r>
            <w:r w:rsidRPr="009653D9">
              <w:t>– az új kút beüzemelését követően a várható bevétel</w:t>
            </w:r>
          </w:p>
        </w:tc>
        <w:tc>
          <w:tcPr>
            <w:tcW w:w="1718" w:type="dxa"/>
            <w:vAlign w:val="center"/>
          </w:tcPr>
          <w:p w:rsidR="00E22632" w:rsidRPr="009653D9" w:rsidRDefault="00357459" w:rsidP="00BC1E8B">
            <w:pPr>
              <w:jc w:val="right"/>
            </w:pPr>
            <w:r w:rsidRPr="009653D9">
              <w:t>200.135</w:t>
            </w:r>
            <w:r w:rsidR="00E22632" w:rsidRPr="009653D9">
              <w:t>,- eFt</w:t>
            </w:r>
          </w:p>
        </w:tc>
      </w:tr>
      <w:tr w:rsidR="009653D9" w:rsidRPr="009653D9" w:rsidTr="00357459">
        <w:tc>
          <w:tcPr>
            <w:tcW w:w="7344" w:type="dxa"/>
          </w:tcPr>
          <w:p w:rsidR="00E22632" w:rsidRPr="009653D9" w:rsidRDefault="00E22632" w:rsidP="00BC1E8B">
            <w:pPr>
              <w:jc w:val="both"/>
            </w:pPr>
            <w:r w:rsidRPr="009653D9">
              <w:rPr>
                <w:i/>
              </w:rPr>
              <w:t>Piac</w:t>
            </w:r>
            <w:r w:rsidRPr="009653D9">
              <w:t xml:space="preserve"> és egyéb közterület foglalási díjak</w:t>
            </w:r>
          </w:p>
        </w:tc>
        <w:tc>
          <w:tcPr>
            <w:tcW w:w="1718" w:type="dxa"/>
            <w:vAlign w:val="center"/>
          </w:tcPr>
          <w:p w:rsidR="00E22632" w:rsidRPr="009653D9" w:rsidRDefault="00E073A8" w:rsidP="00357459">
            <w:pPr>
              <w:jc w:val="right"/>
            </w:pPr>
            <w:r w:rsidRPr="009653D9">
              <w:t>6</w:t>
            </w:r>
            <w:r w:rsidR="00357459" w:rsidRPr="009653D9">
              <w:t>0</w:t>
            </w:r>
            <w:r w:rsidR="007B5B74" w:rsidRPr="009653D9">
              <w:t>.</w:t>
            </w:r>
            <w:r w:rsidR="00FF0B5F" w:rsidRPr="009653D9">
              <w:t>000</w:t>
            </w:r>
            <w:r w:rsidR="00E22632" w:rsidRPr="009653D9">
              <w:t>,- eFt</w:t>
            </w:r>
          </w:p>
        </w:tc>
      </w:tr>
      <w:tr w:rsidR="009653D9" w:rsidRPr="009653D9" w:rsidTr="00357459">
        <w:tc>
          <w:tcPr>
            <w:tcW w:w="7344" w:type="dxa"/>
          </w:tcPr>
          <w:p w:rsidR="00AA6F83" w:rsidRPr="009653D9" w:rsidRDefault="00074E1A" w:rsidP="00BC1E8B">
            <w:pPr>
              <w:jc w:val="both"/>
            </w:pPr>
            <w:r w:rsidRPr="009653D9">
              <w:rPr>
                <w:i/>
              </w:rPr>
              <w:t>Termálfürdő, strand</w:t>
            </w:r>
            <w:r w:rsidRPr="009653D9">
              <w:t xml:space="preserve"> bevételei</w:t>
            </w:r>
            <w:r w:rsidR="00FF0B5F" w:rsidRPr="009653D9">
              <w:t xml:space="preserve"> (szállás nélkül)</w:t>
            </w:r>
          </w:p>
        </w:tc>
        <w:tc>
          <w:tcPr>
            <w:tcW w:w="1718" w:type="dxa"/>
            <w:vAlign w:val="center"/>
          </w:tcPr>
          <w:p w:rsidR="00AA6F83" w:rsidRPr="009653D9" w:rsidRDefault="00357459" w:rsidP="00BC1E8B">
            <w:pPr>
              <w:jc w:val="right"/>
            </w:pPr>
            <w:r w:rsidRPr="009653D9">
              <w:t>58.100</w:t>
            </w:r>
            <w:r w:rsidR="00074E1A" w:rsidRPr="009653D9">
              <w:t>,- eFt</w:t>
            </w:r>
          </w:p>
        </w:tc>
      </w:tr>
      <w:tr w:rsidR="009653D9" w:rsidRPr="009653D9" w:rsidTr="00357459">
        <w:tc>
          <w:tcPr>
            <w:tcW w:w="7344" w:type="dxa"/>
          </w:tcPr>
          <w:p w:rsidR="00074E1A" w:rsidRPr="009653D9" w:rsidRDefault="00074E1A" w:rsidP="00BC1E8B">
            <w:pPr>
              <w:jc w:val="both"/>
            </w:pPr>
            <w:r w:rsidRPr="009653D9">
              <w:rPr>
                <w:i/>
              </w:rPr>
              <w:t xml:space="preserve">Iskolai </w:t>
            </w:r>
            <w:r w:rsidR="00823779" w:rsidRPr="009653D9">
              <w:rPr>
                <w:i/>
              </w:rPr>
              <w:t xml:space="preserve">diák </w:t>
            </w:r>
            <w:r w:rsidRPr="009653D9">
              <w:rPr>
                <w:i/>
              </w:rPr>
              <w:t>étkeztetés</w:t>
            </w:r>
            <w:r w:rsidRPr="009653D9">
              <w:t xml:space="preserve"> </w:t>
            </w:r>
            <w:r w:rsidR="00264451" w:rsidRPr="009653D9">
              <w:t xml:space="preserve">térítési díj </w:t>
            </w:r>
            <w:r w:rsidRPr="009653D9">
              <w:t>bevételei</w:t>
            </w:r>
            <w:r w:rsidR="00FF0B5F" w:rsidRPr="009653D9">
              <w:t xml:space="preserve"> (tartalmazza a támogatott étkezést is)</w:t>
            </w:r>
          </w:p>
        </w:tc>
        <w:tc>
          <w:tcPr>
            <w:tcW w:w="1718" w:type="dxa"/>
            <w:vAlign w:val="center"/>
          </w:tcPr>
          <w:p w:rsidR="00074E1A" w:rsidRPr="009653D9" w:rsidRDefault="00357459" w:rsidP="00BC1E8B">
            <w:pPr>
              <w:jc w:val="right"/>
            </w:pPr>
            <w:r w:rsidRPr="009653D9">
              <w:t>94.915</w:t>
            </w:r>
            <w:r w:rsidR="00074E1A" w:rsidRPr="009653D9">
              <w:t>,- eFt</w:t>
            </w:r>
          </w:p>
        </w:tc>
      </w:tr>
      <w:tr w:rsidR="00357459" w:rsidRPr="009653D9" w:rsidTr="00357459">
        <w:tc>
          <w:tcPr>
            <w:tcW w:w="7344" w:type="dxa"/>
          </w:tcPr>
          <w:p w:rsidR="00357459" w:rsidRPr="009653D9" w:rsidRDefault="00357459" w:rsidP="00BC1E8B">
            <w:pPr>
              <w:jc w:val="both"/>
              <w:rPr>
                <w:i/>
              </w:rPr>
            </w:pPr>
            <w:r w:rsidRPr="009653D9">
              <w:rPr>
                <w:i/>
              </w:rPr>
              <w:t xml:space="preserve">Medveotthon </w:t>
            </w:r>
            <w:r w:rsidRPr="009653D9">
              <w:t>bevételei</w:t>
            </w:r>
          </w:p>
        </w:tc>
        <w:tc>
          <w:tcPr>
            <w:tcW w:w="1718" w:type="dxa"/>
            <w:vAlign w:val="center"/>
          </w:tcPr>
          <w:p w:rsidR="00357459" w:rsidRPr="009653D9" w:rsidRDefault="00357459" w:rsidP="00BC1E8B">
            <w:pPr>
              <w:jc w:val="right"/>
            </w:pPr>
            <w:r w:rsidRPr="009653D9">
              <w:t>171.200,- eFt</w:t>
            </w:r>
          </w:p>
        </w:tc>
      </w:tr>
    </w:tbl>
    <w:p w:rsidR="00E22632" w:rsidRPr="009653D9" w:rsidRDefault="00E22632" w:rsidP="001D40C8">
      <w:pPr>
        <w:jc w:val="both"/>
      </w:pPr>
    </w:p>
    <w:p w:rsidR="00322BB0" w:rsidRPr="009653D9" w:rsidRDefault="000F62EB" w:rsidP="005C02A5">
      <w:pPr>
        <w:ind w:left="284"/>
        <w:jc w:val="both"/>
        <w:rPr>
          <w:b/>
          <w:i/>
        </w:rPr>
      </w:pPr>
      <w:r w:rsidRPr="009653D9">
        <w:rPr>
          <w:b/>
          <w:i/>
        </w:rPr>
        <w:t>Működési célú támogatások államháztartáson belülről</w:t>
      </w:r>
    </w:p>
    <w:p w:rsidR="000F62EB" w:rsidRPr="009653D9" w:rsidRDefault="009B3AAF" w:rsidP="001D40C8">
      <w:pPr>
        <w:jc w:val="both"/>
      </w:pPr>
      <w:r w:rsidRPr="009653D9">
        <w:t>A GAMESZ itt tervezte meg a 201</w:t>
      </w:r>
      <w:r w:rsidR="00357459" w:rsidRPr="009653D9">
        <w:t>6</w:t>
      </w:r>
      <w:r w:rsidRPr="009653D9">
        <w:t xml:space="preserve">. évben </w:t>
      </w:r>
      <w:r w:rsidR="001D5ECC" w:rsidRPr="009653D9">
        <w:t xml:space="preserve">az </w:t>
      </w:r>
      <w:r w:rsidR="00FF0B5F" w:rsidRPr="009653D9">
        <w:t>„</w:t>
      </w:r>
      <w:r w:rsidR="001D5ECC" w:rsidRPr="009653D9">
        <w:t xml:space="preserve">közfoglalkoztatási” program keretében </w:t>
      </w:r>
      <w:r w:rsidR="00601FF3" w:rsidRPr="009653D9">
        <w:br/>
      </w:r>
      <w:r w:rsidRPr="009653D9">
        <w:t xml:space="preserve">felvett közcélú foglalkoztatottak bér-, és járulék kifizetéseihez kapcsolódó állami </w:t>
      </w:r>
      <w:r w:rsidR="00601FF3" w:rsidRPr="009653D9">
        <w:br/>
      </w:r>
      <w:r w:rsidRPr="009653D9">
        <w:t>támogatás</w:t>
      </w:r>
      <w:r w:rsidR="000F62EB" w:rsidRPr="009653D9">
        <w:t>t</w:t>
      </w:r>
      <w:r w:rsidRPr="009653D9">
        <w:t xml:space="preserve"> </w:t>
      </w:r>
      <w:r w:rsidR="00357459" w:rsidRPr="009653D9">
        <w:t>7.070</w:t>
      </w:r>
      <w:r w:rsidRPr="009653D9">
        <w:t>,- eFt értékben.</w:t>
      </w:r>
      <w:r w:rsidR="00033D45" w:rsidRPr="009653D9">
        <w:t xml:space="preserve"> </w:t>
      </w:r>
      <w:r w:rsidR="00E073A8" w:rsidRPr="009653D9">
        <w:t>(A 201</w:t>
      </w:r>
      <w:r w:rsidR="00357459" w:rsidRPr="009653D9">
        <w:t>6</w:t>
      </w:r>
      <w:r w:rsidR="00E073A8" w:rsidRPr="009653D9">
        <w:t>-ben indított program 2016. február 2</w:t>
      </w:r>
      <w:r w:rsidR="00357459" w:rsidRPr="009653D9">
        <w:t>8</w:t>
      </w:r>
      <w:r w:rsidR="00E073A8" w:rsidRPr="009653D9">
        <w:t>-ig t</w:t>
      </w:r>
      <w:r w:rsidR="00601FF3" w:rsidRPr="009653D9">
        <w:t>a</w:t>
      </w:r>
      <w:r w:rsidR="00E073A8" w:rsidRPr="009653D9">
        <w:t>rt.)</w:t>
      </w:r>
    </w:p>
    <w:p w:rsidR="009B3AAF" w:rsidRPr="009653D9" w:rsidRDefault="009B3AAF" w:rsidP="001D40C8">
      <w:pPr>
        <w:jc w:val="both"/>
      </w:pPr>
      <w:r w:rsidRPr="009653D9">
        <w:t xml:space="preserve">A Kölcsey Ferenc </w:t>
      </w:r>
      <w:r w:rsidR="005C02A5" w:rsidRPr="009653D9">
        <w:t xml:space="preserve">Városi </w:t>
      </w:r>
      <w:r w:rsidRPr="009653D9">
        <w:t xml:space="preserve">Könyvtár </w:t>
      </w:r>
      <w:r w:rsidR="005C02A5" w:rsidRPr="009653D9">
        <w:t>az érdekeltségnövelő támogatást tervezet</w:t>
      </w:r>
      <w:r w:rsidR="00601FF3" w:rsidRPr="009653D9">
        <w:t>t</w:t>
      </w:r>
      <w:r w:rsidR="005C02A5" w:rsidRPr="009653D9">
        <w:t xml:space="preserve"> meg </w:t>
      </w:r>
      <w:r w:rsidR="00357459" w:rsidRPr="009653D9">
        <w:t>400</w:t>
      </w:r>
      <w:r w:rsidR="005C02A5" w:rsidRPr="009653D9">
        <w:t>,- eFt értékben.</w:t>
      </w:r>
    </w:p>
    <w:p w:rsidR="009B3AAF" w:rsidRDefault="000F62EB" w:rsidP="001D40C8">
      <w:pPr>
        <w:jc w:val="both"/>
      </w:pPr>
      <w:r w:rsidRPr="009653D9">
        <w:t>A Váci Mihály Művelődési Ház</w:t>
      </w:r>
      <w:r w:rsidR="00AC11C7" w:rsidRPr="009653D9">
        <w:t xml:space="preserve"> </w:t>
      </w:r>
      <w:r w:rsidR="00357459" w:rsidRPr="009653D9">
        <w:t xml:space="preserve">táncházakra </w:t>
      </w:r>
      <w:r w:rsidR="00AC11C7" w:rsidRPr="009653D9">
        <w:t xml:space="preserve">tervezett működési célú támogatásának összege </w:t>
      </w:r>
      <w:r w:rsidR="006A139D" w:rsidRPr="009653D9">
        <w:t>400</w:t>
      </w:r>
      <w:r w:rsidR="00AC11C7" w:rsidRPr="009653D9">
        <w:t xml:space="preserve">,- </w:t>
      </w:r>
      <w:proofErr w:type="spellStart"/>
      <w:r w:rsidR="00AC11C7" w:rsidRPr="009653D9">
        <w:t>eFt</w:t>
      </w:r>
      <w:proofErr w:type="spellEnd"/>
      <w:r w:rsidR="00AC11C7" w:rsidRPr="009653D9">
        <w:t>.</w:t>
      </w:r>
    </w:p>
    <w:p w:rsidR="00447234" w:rsidRDefault="00447234" w:rsidP="001D40C8">
      <w:pPr>
        <w:jc w:val="both"/>
      </w:pPr>
    </w:p>
    <w:p w:rsidR="00447234" w:rsidRDefault="00447234" w:rsidP="001D40C8">
      <w:pPr>
        <w:jc w:val="both"/>
      </w:pPr>
      <w:r>
        <w:t>Veresegyház, 2017. 02. 24.</w:t>
      </w:r>
      <w:r>
        <w:tab/>
      </w:r>
      <w:r>
        <w:tab/>
      </w:r>
      <w:r>
        <w:tab/>
      </w:r>
      <w:r>
        <w:tab/>
      </w:r>
      <w:r>
        <w:tab/>
      </w:r>
      <w:r>
        <w:tab/>
        <w:t>Kovács Zsuzsanna</w:t>
      </w:r>
    </w:p>
    <w:p w:rsidR="00447234" w:rsidRPr="009653D9" w:rsidRDefault="00447234" w:rsidP="001D40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gazdasági</w:t>
      </w:r>
      <w:proofErr w:type="gramEnd"/>
      <w:r>
        <w:t xml:space="preserve"> vezető</w:t>
      </w:r>
      <w:bookmarkStart w:id="0" w:name="_GoBack"/>
      <w:bookmarkEnd w:id="0"/>
    </w:p>
    <w:sectPr w:rsidR="00447234" w:rsidRPr="009653D9" w:rsidSect="00F61C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24D" w:rsidRDefault="00AE724D">
      <w:r>
        <w:separator/>
      </w:r>
    </w:p>
  </w:endnote>
  <w:endnote w:type="continuationSeparator" w:id="0">
    <w:p w:rsidR="00AE724D" w:rsidRDefault="00AE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790" w:rsidRPr="00EE7790" w:rsidRDefault="00053B37" w:rsidP="00EE7790">
    <w:pPr>
      <w:pStyle w:val="llb"/>
      <w:jc w:val="center"/>
      <w:rPr>
        <w:sz w:val="20"/>
        <w:szCs w:val="20"/>
      </w:rPr>
    </w:pPr>
    <w:r w:rsidRPr="00EE7790">
      <w:rPr>
        <w:sz w:val="20"/>
        <w:szCs w:val="20"/>
      </w:rPr>
      <w:fldChar w:fldCharType="begin"/>
    </w:r>
    <w:r w:rsidR="00EE7790" w:rsidRPr="00EE7790">
      <w:rPr>
        <w:sz w:val="20"/>
        <w:szCs w:val="20"/>
      </w:rPr>
      <w:instrText xml:space="preserve"> PAGE   \* MERGEFORMAT </w:instrText>
    </w:r>
    <w:r w:rsidRPr="00EE7790">
      <w:rPr>
        <w:sz w:val="20"/>
        <w:szCs w:val="20"/>
      </w:rPr>
      <w:fldChar w:fldCharType="separate"/>
    </w:r>
    <w:r w:rsidR="00447234">
      <w:rPr>
        <w:noProof/>
        <w:sz w:val="20"/>
        <w:szCs w:val="20"/>
      </w:rPr>
      <w:t>2</w:t>
    </w:r>
    <w:r w:rsidRPr="00EE779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24D" w:rsidRDefault="00AE724D">
      <w:r>
        <w:separator/>
      </w:r>
    </w:p>
  </w:footnote>
  <w:footnote w:type="continuationSeparator" w:id="0">
    <w:p w:rsidR="00AE724D" w:rsidRDefault="00AE7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1DE" w:rsidRPr="003E1DBC" w:rsidRDefault="004973C2" w:rsidP="00E40277">
    <w:pPr>
      <w:ind w:right="-648" w:hanging="1080"/>
      <w:jc w:val="center"/>
      <w:rPr>
        <w:b/>
        <w:bCs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4509770</wp:posOffset>
          </wp:positionH>
          <wp:positionV relativeFrom="paragraph">
            <wp:posOffset>-188595</wp:posOffset>
          </wp:positionV>
          <wp:extent cx="1583690" cy="1210945"/>
          <wp:effectExtent l="0" t="0" r="0" b="8255"/>
          <wp:wrapSquare wrapText="bothSides"/>
          <wp:docPr id="2" name="Kép 2" descr="gamesz_logo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gamesz_logo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210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-109220</wp:posOffset>
          </wp:positionH>
          <wp:positionV relativeFrom="paragraph">
            <wp:posOffset>-117475</wp:posOffset>
          </wp:positionV>
          <wp:extent cx="833120" cy="1068705"/>
          <wp:effectExtent l="0" t="0" r="5080" b="0"/>
          <wp:wrapSquare wrapText="bothSides"/>
          <wp:docPr id="1" name="Kép 4" descr="Veresegyhaz_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Veresegyhaz_cim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B51DE" w:rsidRPr="003E1DBC">
      <w:rPr>
        <w:b/>
        <w:bCs/>
      </w:rPr>
      <w:t>VERESEGYHÁZ VÁROS ÖNKORMÁNYZAT</w:t>
    </w:r>
  </w:p>
  <w:p w:rsidR="000B51DE" w:rsidRPr="003E1DBC" w:rsidRDefault="000B51DE" w:rsidP="00E40277">
    <w:pPr>
      <w:ind w:right="-648" w:hanging="1080"/>
      <w:jc w:val="center"/>
      <w:rPr>
        <w:b/>
        <w:bCs/>
      </w:rPr>
    </w:pPr>
    <w:r w:rsidRPr="003E1DBC">
      <w:rPr>
        <w:b/>
        <w:bCs/>
      </w:rPr>
      <w:t>GAZDASÁGI MŰSZAKI ELLÁTÓ SZERVEZET</w:t>
    </w:r>
  </w:p>
  <w:p w:rsidR="000B51DE" w:rsidRPr="003E1DBC" w:rsidRDefault="000B51DE" w:rsidP="00E40277">
    <w:pPr>
      <w:ind w:right="-648" w:hanging="1080"/>
      <w:jc w:val="center"/>
    </w:pPr>
    <w:r w:rsidRPr="003E1DBC">
      <w:t>2112</w:t>
    </w:r>
    <w:r>
      <w:t>.</w:t>
    </w:r>
    <w:r w:rsidRPr="003E1DBC">
      <w:t xml:space="preserve"> Veresegyház, Sport utca 4.</w:t>
    </w:r>
  </w:p>
  <w:p w:rsidR="000B51DE" w:rsidRPr="003E1DBC" w:rsidRDefault="000B51DE" w:rsidP="00E40277">
    <w:pPr>
      <w:ind w:right="-648" w:hanging="1080"/>
      <w:jc w:val="center"/>
    </w:pPr>
    <w:r w:rsidRPr="003E1DBC">
      <w:t>Telefon: (28) 585-190; Fax: (28) 586-045</w:t>
    </w:r>
  </w:p>
  <w:p w:rsidR="000B51DE" w:rsidRPr="003E1DBC" w:rsidRDefault="000B51DE" w:rsidP="00E40277">
    <w:pPr>
      <w:ind w:right="-648" w:hanging="1080"/>
      <w:jc w:val="center"/>
    </w:pPr>
    <w:r w:rsidRPr="003E1DBC">
      <w:t xml:space="preserve">E-mail: </w:t>
    </w:r>
    <w:hyperlink r:id="rId3" w:history="1">
      <w:r w:rsidRPr="009A5B8D">
        <w:rPr>
          <w:rStyle w:val="Hiperhivatkozs"/>
        </w:rPr>
        <w:t>gamesz@veresegyhaz.hu</w:t>
      </w:r>
    </w:hyperlink>
  </w:p>
  <w:p w:rsidR="000B51DE" w:rsidRPr="003E1DBC" w:rsidRDefault="000B51DE" w:rsidP="00E40277">
    <w:pPr>
      <w:pBdr>
        <w:bottom w:val="single" w:sz="4" w:space="1" w:color="auto"/>
      </w:pBdr>
      <w:ind w:right="-648" w:hanging="720"/>
      <w:jc w:val="center"/>
    </w:pPr>
  </w:p>
  <w:p w:rsidR="000B51DE" w:rsidRDefault="000B51D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030A"/>
    <w:multiLevelType w:val="hybridMultilevel"/>
    <w:tmpl w:val="8842C810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4DDF3348"/>
    <w:multiLevelType w:val="hybridMultilevel"/>
    <w:tmpl w:val="7C02B7FC"/>
    <w:lvl w:ilvl="0" w:tplc="040E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66F"/>
    <w:rsid w:val="00002854"/>
    <w:rsid w:val="000125D5"/>
    <w:rsid w:val="000201C9"/>
    <w:rsid w:val="00021B0C"/>
    <w:rsid w:val="00023259"/>
    <w:rsid w:val="00031028"/>
    <w:rsid w:val="00033D45"/>
    <w:rsid w:val="00040A46"/>
    <w:rsid w:val="00053B37"/>
    <w:rsid w:val="000576F7"/>
    <w:rsid w:val="00074E1A"/>
    <w:rsid w:val="000A3546"/>
    <w:rsid w:val="000B51DE"/>
    <w:rsid w:val="000D4D44"/>
    <w:rsid w:val="000E122A"/>
    <w:rsid w:val="000F00C9"/>
    <w:rsid w:val="000F62EB"/>
    <w:rsid w:val="001C2331"/>
    <w:rsid w:val="001C75F1"/>
    <w:rsid w:val="001D40C8"/>
    <w:rsid w:val="001D5ECC"/>
    <w:rsid w:val="001E2FDE"/>
    <w:rsid w:val="001E5991"/>
    <w:rsid w:val="001E757F"/>
    <w:rsid w:val="001F200E"/>
    <w:rsid w:val="00222419"/>
    <w:rsid w:val="00227836"/>
    <w:rsid w:val="00264451"/>
    <w:rsid w:val="00276577"/>
    <w:rsid w:val="00281A93"/>
    <w:rsid w:val="002B467C"/>
    <w:rsid w:val="002C6B12"/>
    <w:rsid w:val="003025A2"/>
    <w:rsid w:val="00321E68"/>
    <w:rsid w:val="00322BB0"/>
    <w:rsid w:val="00323817"/>
    <w:rsid w:val="003327A4"/>
    <w:rsid w:val="0034331A"/>
    <w:rsid w:val="00357459"/>
    <w:rsid w:val="00366C58"/>
    <w:rsid w:val="00387AAC"/>
    <w:rsid w:val="003B3A93"/>
    <w:rsid w:val="003B7059"/>
    <w:rsid w:val="003C2C65"/>
    <w:rsid w:val="003E1DBC"/>
    <w:rsid w:val="003F1499"/>
    <w:rsid w:val="003F4A14"/>
    <w:rsid w:val="00431B07"/>
    <w:rsid w:val="00447234"/>
    <w:rsid w:val="00455F47"/>
    <w:rsid w:val="00470138"/>
    <w:rsid w:val="004973C2"/>
    <w:rsid w:val="004F5E02"/>
    <w:rsid w:val="00507CE1"/>
    <w:rsid w:val="0051119E"/>
    <w:rsid w:val="0056574F"/>
    <w:rsid w:val="00570B18"/>
    <w:rsid w:val="00571390"/>
    <w:rsid w:val="00593ECC"/>
    <w:rsid w:val="005A77E5"/>
    <w:rsid w:val="005C02A5"/>
    <w:rsid w:val="005C40D2"/>
    <w:rsid w:val="005E39C9"/>
    <w:rsid w:val="005F16DF"/>
    <w:rsid w:val="00601FF3"/>
    <w:rsid w:val="00640530"/>
    <w:rsid w:val="006608A3"/>
    <w:rsid w:val="006609BF"/>
    <w:rsid w:val="0066653F"/>
    <w:rsid w:val="00670A12"/>
    <w:rsid w:val="006A139D"/>
    <w:rsid w:val="006B7C15"/>
    <w:rsid w:val="006C4414"/>
    <w:rsid w:val="006D31FE"/>
    <w:rsid w:val="007220CA"/>
    <w:rsid w:val="00724117"/>
    <w:rsid w:val="0073778A"/>
    <w:rsid w:val="00744ED7"/>
    <w:rsid w:val="007813EF"/>
    <w:rsid w:val="007961D1"/>
    <w:rsid w:val="00797E39"/>
    <w:rsid w:val="007B5B74"/>
    <w:rsid w:val="007F34D6"/>
    <w:rsid w:val="00823779"/>
    <w:rsid w:val="0083025F"/>
    <w:rsid w:val="008369A0"/>
    <w:rsid w:val="00870054"/>
    <w:rsid w:val="0087042F"/>
    <w:rsid w:val="00887412"/>
    <w:rsid w:val="008C4CDB"/>
    <w:rsid w:val="008C71E4"/>
    <w:rsid w:val="009032C8"/>
    <w:rsid w:val="00923BFF"/>
    <w:rsid w:val="009653D9"/>
    <w:rsid w:val="00974C08"/>
    <w:rsid w:val="00985DEC"/>
    <w:rsid w:val="00987AF2"/>
    <w:rsid w:val="00995C31"/>
    <w:rsid w:val="009B3AAF"/>
    <w:rsid w:val="009B7142"/>
    <w:rsid w:val="009E12F9"/>
    <w:rsid w:val="009E2A8C"/>
    <w:rsid w:val="009F1821"/>
    <w:rsid w:val="00A46E0B"/>
    <w:rsid w:val="00A67984"/>
    <w:rsid w:val="00A7566F"/>
    <w:rsid w:val="00A86911"/>
    <w:rsid w:val="00AA2F79"/>
    <w:rsid w:val="00AA6F83"/>
    <w:rsid w:val="00AB4A2C"/>
    <w:rsid w:val="00AC11C7"/>
    <w:rsid w:val="00AE724D"/>
    <w:rsid w:val="00B01E6E"/>
    <w:rsid w:val="00B14C66"/>
    <w:rsid w:val="00B5509B"/>
    <w:rsid w:val="00B83525"/>
    <w:rsid w:val="00B870B2"/>
    <w:rsid w:val="00BB3226"/>
    <w:rsid w:val="00BC1E8B"/>
    <w:rsid w:val="00BF7BE8"/>
    <w:rsid w:val="00C42C52"/>
    <w:rsid w:val="00C46942"/>
    <w:rsid w:val="00C81417"/>
    <w:rsid w:val="00C90431"/>
    <w:rsid w:val="00C91A36"/>
    <w:rsid w:val="00CC5261"/>
    <w:rsid w:val="00CD3F94"/>
    <w:rsid w:val="00CD6D4A"/>
    <w:rsid w:val="00CE46F7"/>
    <w:rsid w:val="00D50EA6"/>
    <w:rsid w:val="00D5503C"/>
    <w:rsid w:val="00D56778"/>
    <w:rsid w:val="00D9106E"/>
    <w:rsid w:val="00E073A8"/>
    <w:rsid w:val="00E22632"/>
    <w:rsid w:val="00E3321E"/>
    <w:rsid w:val="00E40277"/>
    <w:rsid w:val="00E41F23"/>
    <w:rsid w:val="00E8691B"/>
    <w:rsid w:val="00E93153"/>
    <w:rsid w:val="00EA1937"/>
    <w:rsid w:val="00EA232B"/>
    <w:rsid w:val="00EA78F0"/>
    <w:rsid w:val="00EB5D4B"/>
    <w:rsid w:val="00EE7790"/>
    <w:rsid w:val="00EF3B5A"/>
    <w:rsid w:val="00EF4918"/>
    <w:rsid w:val="00F2140F"/>
    <w:rsid w:val="00F60992"/>
    <w:rsid w:val="00F61C9B"/>
    <w:rsid w:val="00F70E47"/>
    <w:rsid w:val="00F9067E"/>
    <w:rsid w:val="00F950A0"/>
    <w:rsid w:val="00FC3313"/>
    <w:rsid w:val="00FD59F0"/>
    <w:rsid w:val="00FD5AB5"/>
    <w:rsid w:val="00FF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41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AA2F7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987AF2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AA2F7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987AF2"/>
    <w:rPr>
      <w:sz w:val="24"/>
      <w:szCs w:val="24"/>
    </w:rPr>
  </w:style>
  <w:style w:type="character" w:styleId="Hiperhivatkozs">
    <w:name w:val="Hyperlink"/>
    <w:uiPriority w:val="99"/>
    <w:rsid w:val="00AA2F7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EA78F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E39C9"/>
    <w:rPr>
      <w:sz w:val="2"/>
      <w:szCs w:val="2"/>
    </w:rPr>
  </w:style>
  <w:style w:type="table" w:styleId="Rcsostblzat">
    <w:name w:val="Table Grid"/>
    <w:basedOn w:val="Normltblzat"/>
    <w:locked/>
    <w:rsid w:val="00E22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mesz@veresegyhaz.hu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Ingatlantulajdonosok</vt:lpstr>
    </vt:vector>
  </TitlesOfParts>
  <Company>GAMESZ Veresegyház</Company>
  <LinksUpToDate>false</LinksUpToDate>
  <CharactersWithSpaces>5585</CharactersWithSpaces>
  <SharedDoc>false</SharedDoc>
  <HLinks>
    <vt:vector size="6" baseType="variant">
      <vt:variant>
        <vt:i4>8192094</vt:i4>
      </vt:variant>
      <vt:variant>
        <vt:i4>0</vt:i4>
      </vt:variant>
      <vt:variant>
        <vt:i4>0</vt:i4>
      </vt:variant>
      <vt:variant>
        <vt:i4>5</vt:i4>
      </vt:variant>
      <vt:variant>
        <vt:lpwstr>mailto:gamesz@veresegyhaz.hu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Ingatlantulajdonosok</dc:title>
  <dc:creator>NJA</dc:creator>
  <cp:lastModifiedBy>Jáger Ágnes</cp:lastModifiedBy>
  <cp:revision>3</cp:revision>
  <cp:lastPrinted>2017-02-15T13:47:00Z</cp:lastPrinted>
  <dcterms:created xsi:type="dcterms:W3CDTF">2017-02-15T13:48:00Z</dcterms:created>
  <dcterms:modified xsi:type="dcterms:W3CDTF">2017-03-17T07:05:00Z</dcterms:modified>
</cp:coreProperties>
</file>